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26-100</w:t>
      </w:r>
    </w:p>
    <w:p>
      <w:pPr>
        <w:spacing w:before="0" w:after="0" w:line="480"/>
        <w:ind w:left="120"/>
        <w:jc w:val="left"/>
      </w:pPr>
    </w:p>
    <w:p>
      <w:pPr>
        <w:spacing w:before="0" w:after="0" w:line="480"/>
        <w:ind w:left="120"/>
        <w:jc w:val="center"/>
      </w:pPr>
      <w:r>
        <w:rPr>
          <w:rFonts w:ascii="Times New Roman" w:hAnsi="Times New Roman"/>
          <w:b/>
          <w:i w:val="false"/>
          <w:color w:val="000000"/>
          <w:sz w:val="28"/>
        </w:rPr>
        <w:t>SOIL CONSERVATION AND WATER QUALITY DIVISION[27]</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27—Chapter 12</w:t>
      </w:r>
    </w:p>
    <w:p>
      <w:pPr>
        <w:spacing w:before="0" w:after="0" w:line="480"/>
        <w:ind w:left="120"/>
        <w:jc w:val="center"/>
      </w:pPr>
      <w:r>
        <w:rPr>
          <w:rFonts w:ascii="Times New Roman" w:hAnsi="Times New Roman"/>
          <w:b w:val="false"/>
          <w:i w:val="false"/>
          <w:color w:val="000000"/>
          <w:sz w:val="24"/>
        </w:rPr>
        <w:t>“Water Protection Practices—Water Protection Fund”</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161A</w:t>
      </w:r>
    </w:p>
    <w:p>
      <w:pPr>
        <w:spacing w:before="0" w:after="0" w:line="480"/>
        <w:ind w:left="120"/>
        <w:jc w:val="both"/>
      </w:pPr>
      <w:r>
        <w:rPr>
          <w:rFonts w:ascii="Times New Roman" w:hAnsi="Times New Roman"/>
          <w:b w:val="false"/>
          <w:i w:val="false"/>
          <w:color w:val="000000"/>
          <w:sz w:val="24"/>
        </w:rPr>
        <w:t>State or federal law(s) implemented by the rulemaking: Iowa Code chapters 161A and 161C and section 455A.19</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July 14, 2026</w:t>
            </w:r>
            <w:r>
              <w:br/>
            </w:r>
            <w:r>
              <w:rPr>
                <w:rFonts w:ascii="Times New Roman" w:hAnsi="Times New Roman"/>
                <w:b w:val="false"/>
                <w:i w:val="false"/>
                <w:color w:val="000000"/>
                <w:sz w:val="14"/>
              </w:rPr>
              <w:t>9 to 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Borlaug Conference Room</w:t>
            </w:r>
            <w:r>
              <w:br/>
            </w:r>
            <w:r>
              <w:rPr>
                <w:rFonts w:ascii="Times New Roman" w:hAnsi="Times New Roman"/>
                <w:b w:val="false"/>
                <w:i w:val="false"/>
                <w:color w:val="000000"/>
                <w:sz w:val="14"/>
              </w:rPr>
              <w:t>Hoover State Office Building</w:t>
            </w:r>
            <w:r>
              <w:br/>
            </w:r>
            <w:r>
              <w:rPr>
                <w:rFonts w:ascii="Times New Roman" w:hAnsi="Times New Roman"/>
                <w:b w:val="false"/>
                <w:i w:val="false"/>
                <w:color w:val="000000"/>
                <w:sz w:val="14"/>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Soil Conservation and Water Quality Division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645"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Colin Tadlock</w:t>
            </w:r>
            <w:r>
              <w:br/>
            </w:r>
            <w:r>
              <w:rPr>
                <w:rFonts w:ascii="Times New Roman" w:hAnsi="Times New Roman"/>
                <w:b w:val="false"/>
                <w:i w:val="false"/>
                <w:color w:val="000000"/>
                <w:sz w:val="14"/>
              </w:rPr>
              <w:t>1305 East Walnut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colin.tadlock@iowaagriculture.gov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establishes procedures and standards to be followed by the Iowa Department of Agriculture and Land Stewardship (IDALS) in implementing water protection practices supported through the Water Protection Fund. The proposed chapter also establishes standards and guidelines that the soil and water conservation districts (SWCDs) will use in fulfilling their responsibilities under the water protection practices program.</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No costs are incurred by the public to comply with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This proposed rulemaking will not provide an additional benefit to any persons. Private landowners will still be given the opportunity to apply for financial assistance to implement water quality improvement, soil conservation, woodland/native grasses practices, or a combination thereof on the land through a voluntary application process managed by the local SWCDs. These practices protect and improve land used for the production of food, fiber, or both to the benefit of all.</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will be no significant impact associated with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There will be no significant impact associated with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Costs are incurred by IDALS in association with SWCD, Natural Resources Conservation Service (NRCS), Department of Natural Resources (DNR), and IDALS staff to promote, plan, design, and evaluate practices as well as process payments for practices installed using the program, and costs will not change due to this proposed rulemaking. Based on current IDALS staff participation, it is estimated that 10 to 15 percent of staff time annually will remain allocated to implementing these rules after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will be no effect on State revenues in association with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The water protection practices program is currently functioning efficiently utilizing the rules established in the existing chapter, and the proposed revisions will not affect this, so no alternatives needed to be considered.</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proposed rulemaking will have no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27—Chapter 12</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12</w:t>
      </w:r>
    </w:p>
    <w:p>
      <w:pPr>
        <w:spacing w:before="0" w:after="0" w:line="480"/>
        <w:ind w:left="120"/>
        <w:jc w:val="center"/>
      </w:pPr>
      <w:r>
        <w:rPr>
          <w:rFonts w:ascii="Times New Roman" w:hAnsi="Times New Roman"/>
          <w:b w:val="false"/>
          <w:i w:val="false"/>
          <w:color w:val="000000"/>
          <w:sz w:val="21"/>
        </w:rPr>
        <w:t>WATER PROTECTION PRACTICES—WATER PROTECTION FUND</w:t>
      </w:r>
    </w:p>
    <w:p>
      <w:pPr>
        <w:pBdr>
          <w:top w:space="10"/>
        </w:pBdr>
        <w:spacing w:before="0" w:after="0" w:line="480"/>
        <w:ind w:left="120"/>
        <w:jc w:val="center"/>
      </w:pPr>
      <w:r>
        <w:rPr>
          <w:rFonts w:ascii="Times New Roman" w:hAnsi="Times New Roman"/>
          <w:b w:val="false"/>
          <w:i w:val="false"/>
          <w:color w:val="000000"/>
          <w:sz w:val="16"/>
        </w:rPr>
        <w:t>PART 1</w:t>
      </w:r>
    </w:p>
    <w:p>
      <w:pPr>
        <w:spacing w:before="210" w:after="0" w:line="480"/>
        <w:ind w:left="120"/>
        <w:jc w:val="both"/>
      </w:pPr>
      <w:r>
        <w:rPr>
          <w:rFonts w:ascii="Times New Roman" w:hAnsi="Times New Roman"/>
          <w:b/>
          <w:i w:val="false"/>
          <w:color w:val="000000"/>
          <w:sz w:val="24"/>
        </w:rPr>
        <w:t>27—12.1</w:t>
      </w:r>
      <w:r>
        <w:rPr>
          <w:rFonts w:ascii="Times New Roman" w:hAnsi="Times New Roman"/>
          <w:b/>
          <w:i w:val="false"/>
          <w:color w:val="000000"/>
          <w:sz w:val="24"/>
        </w:rPr>
        <w:t xml:space="preserve">(161C) </w:t>
      </w:r>
      <w:r>
        <w:rPr>
          <w:rFonts w:ascii="Times New Roman" w:hAnsi="Times New Roman"/>
          <w:b/>
          <w:i w:val="false"/>
          <w:color w:val="000000"/>
          <w:sz w:val="24"/>
        </w:rPr>
        <w:t xml:space="preserve">Authority and scope. </w:t>
      </w:r>
      <w:r>
        <w:rPr>
          <w:rFonts w:ascii="Times New Roman" w:hAnsi="Times New Roman"/>
          <w:b w:val="false"/>
          <w:i w:val="false"/>
          <w:color w:val="000000"/>
          <w:sz w:val="24"/>
        </w:rPr>
        <w:t xml:space="preserve">This chapter establishes procedures and standards to be followed by soil and water conservation districts and the division of soil conservation and water quality of the department of agriculture and land stewardship in implementing water protection practices through the water protection fund created in Iowa Code section </w:t>
      </w:r>
      <w:hyperlink r:id="rId5">
        <w:r>
          <w:rPr>
            <w:rStyle w:val="Hyperlink"/>
            <w:rFonts w:ascii="Times New Roman" w:hAnsi="Times New Roman"/>
            <w:b w:val="false"/>
            <w:i w:val="false"/>
            <w:color w:val="000000"/>
            <w:sz w:val="24"/>
          </w:rPr>
          <w:t>161C.4</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27—12.2</w:t>
      </w:r>
      <w:r>
        <w:rPr>
          <w:rFonts w:ascii="Times New Roman" w:hAnsi="Times New Roman"/>
          <w:b/>
          <w:i w:val="false"/>
          <w:color w:val="000000"/>
          <w:sz w:val="24"/>
        </w:rPr>
        <w:t xml:space="preserve">(161C) </w:t>
      </w:r>
      <w:r>
        <w:rPr>
          <w:rFonts w:ascii="Times New Roman" w:hAnsi="Times New Roman"/>
          <w:b/>
          <w:i w:val="false"/>
          <w:color w:val="000000"/>
          <w:sz w:val="24"/>
        </w:rPr>
        <w:t xml:space="preserve">Rules are severable. </w:t>
      </w:r>
      <w:r>
        <w:rPr>
          <w:rFonts w:ascii="Times New Roman" w:hAnsi="Times New Roman"/>
          <w:b w:val="false"/>
          <w:i w:val="false"/>
          <w:color w:val="000000"/>
          <w:sz w:val="24"/>
        </w:rPr>
        <w:t>If any provision of a rule or the application thereof to any person or circumstance is held invalid, the invalidity does not affect other provisions or applications of the rule that can be given effect without invalid provision or application, and to this end, the provisions of these rules are severable.</w:t>
      </w:r>
    </w:p>
    <w:p>
      <w:pPr>
        <w:pBdr>
          <w:top w:space="10"/>
        </w:pBdr>
        <w:spacing w:before="0" w:after="0" w:line="480"/>
        <w:ind w:left="120"/>
        <w:jc w:val="center"/>
      </w:pPr>
      <w:r>
        <w:rPr>
          <w:rFonts w:ascii="Times New Roman" w:hAnsi="Times New Roman"/>
          <w:b w:val="false"/>
          <w:i w:val="false"/>
          <w:color w:val="000000"/>
          <w:sz w:val="16"/>
        </w:rPr>
        <w:t>PART 2</w:t>
      </w:r>
    </w:p>
    <w:p>
      <w:pPr>
        <w:spacing w:before="0" w:after="0" w:line="480"/>
        <w:ind w:left="120"/>
        <w:jc w:val="both"/>
      </w:pPr>
      <w:r>
        <w:rPr>
          <w:rFonts w:ascii="Times New Roman" w:hAnsi="Times New Roman"/>
          <w:b/>
          <w:i w:val="false"/>
          <w:color w:val="000000"/>
          <w:sz w:val="24"/>
        </w:rPr>
        <w:t>27—12.3</w:t>
      </w:r>
      <w:r>
        <w:rPr>
          <w:rFonts w:ascii="Times New Roman" w:hAnsi="Times New Roman"/>
          <w:b/>
          <w:i w:val="false"/>
          <w:color w:val="000000"/>
          <w:sz w:val="24"/>
        </w:rPr>
        <w:t xml:space="preserve">(161C) </w:t>
      </w:r>
      <w:r>
        <w:rPr>
          <w:rFonts w:ascii="Times New Roman" w:hAnsi="Times New Roman"/>
          <w:b/>
          <w:i w:val="false"/>
          <w:color w:val="000000"/>
          <w:sz w:val="24"/>
        </w:rPr>
        <w:t xml:space="preserve">Definition. </w:t>
      </w:r>
      <w:r>
        <w:rPr>
          <w:rFonts w:ascii="Times New Roman" w:hAnsi="Times New Roman"/>
          <w:b w:val="false"/>
          <w:i w:val="false"/>
          <w:color w:val="000000"/>
          <w:sz w:val="24"/>
        </w:rPr>
        <w:t xml:space="preserve">In addition to the definition herein, definitions in rule </w:t>
      </w:r>
      <w:hyperlink r:id="rId6">
        <w:r>
          <w:rPr>
            <w:rStyle w:val="Hyperlink"/>
            <w:rFonts w:ascii="Times New Roman" w:hAnsi="Times New Roman"/>
            <w:b w:val="false"/>
            <w:i w:val="false"/>
            <w:color w:val="000000"/>
            <w:sz w:val="24"/>
          </w:rPr>
          <w:t>27—10.3</w:t>
        </w:r>
      </w:hyperlink>
      <w:r>
        <w:rPr>
          <w:rFonts w:ascii="Times New Roman" w:hAnsi="Times New Roman"/>
          <w:b w:val="false"/>
          <w:i w:val="false"/>
          <w:color w:val="000000"/>
          <w:sz w:val="24"/>
        </w:rPr>
        <w:t>(161A) shall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“Stormwater best management practice”</w:t>
      </w:r>
      <w:r>
        <w:rPr>
          <w:rFonts w:ascii="Times New Roman" w:hAnsi="Times New Roman"/>
          <w:b w:val="false"/>
          <w:i/>
          <w:color w:val="000000"/>
          <w:sz w:val="24"/>
          <w:u w:val="single"/>
        </w:rPr>
        <w:t> </w:t>
      </w:r>
      <w:r>
        <w:rPr>
          <w:rFonts w:ascii="Times New Roman" w:hAnsi="Times New Roman"/>
          <w:b w:val="false"/>
          <w:i w:val="false"/>
          <w:color w:val="000000"/>
          <w:sz w:val="24"/>
        </w:rPr>
        <w:t>means a technique, measure, or structural control that is used for a given set of conditions to manage the quantity and improve the quality of stormwater runoff in the most cost-effective manner.</w:t>
      </w:r>
    </w:p>
    <w:p>
      <w:pPr>
        <w:pBdr>
          <w:top w:space="10"/>
        </w:pBdr>
        <w:spacing w:before="0" w:after="0" w:line="480"/>
        <w:ind w:left="120"/>
        <w:jc w:val="center"/>
      </w:pPr>
      <w:r>
        <w:rPr>
          <w:rFonts w:ascii="Times New Roman" w:hAnsi="Times New Roman"/>
          <w:b w:val="false"/>
          <w:i w:val="false"/>
          <w:color w:val="000000"/>
          <w:sz w:val="16"/>
        </w:rPr>
        <w:t>PART 3</w:t>
      </w:r>
    </w:p>
    <w:p>
      <w:pPr>
        <w:spacing w:before="210" w:after="0" w:line="480"/>
        <w:ind w:left="120"/>
        <w:jc w:val="both"/>
      </w:pPr>
      <w:r>
        <w:rPr>
          <w:rFonts w:ascii="Times New Roman" w:hAnsi="Times New Roman"/>
          <w:b/>
          <w:i w:val="false"/>
          <w:color w:val="000000"/>
          <w:sz w:val="24"/>
        </w:rPr>
        <w:t>27—12.4</w:t>
      </w:r>
      <w:r>
        <w:rPr>
          <w:rFonts w:ascii="Times New Roman" w:hAnsi="Times New Roman"/>
          <w:b/>
          <w:i w:val="false"/>
          <w:color w:val="000000"/>
          <w:sz w:val="24"/>
        </w:rPr>
        <w:t xml:space="preserve">(161C) </w:t>
      </w:r>
      <w:r>
        <w:rPr>
          <w:rFonts w:ascii="Times New Roman" w:hAnsi="Times New Roman"/>
          <w:b/>
          <w:i w:val="false"/>
          <w:color w:val="000000"/>
          <w:sz w:val="24"/>
        </w:rPr>
        <w:t xml:space="preserve">Compliance, refund, reviews and appeals. </w:t>
      </w:r>
      <w:r>
        <w:rPr>
          <w:rFonts w:ascii="Times New Roman" w:hAnsi="Times New Roman"/>
          <w:b w:val="false"/>
          <w:i w:val="false"/>
          <w:color w:val="000000"/>
          <w:sz w:val="24"/>
        </w:rPr>
        <w:t xml:space="preserve">Rules </w:t>
      </w:r>
      <w:hyperlink r:id="rId7">
        <w:r>
          <w:rPr>
            <w:rStyle w:val="Hyperlink"/>
            <w:rFonts w:ascii="Times New Roman" w:hAnsi="Times New Roman"/>
            <w:b w:val="false"/>
            <w:i w:val="false"/>
            <w:color w:val="000000"/>
            <w:sz w:val="24"/>
          </w:rPr>
          <w:t>27—10.4</w:t>
        </w:r>
      </w:hyperlink>
      <w:r>
        <w:rPr>
          <w:rFonts w:ascii="Times New Roman" w:hAnsi="Times New Roman"/>
          <w:b w:val="false"/>
          <w:i w:val="false"/>
          <w:color w:val="000000"/>
          <w:sz w:val="24"/>
        </w:rPr>
        <w:t xml:space="preserve">(161A) through </w:t>
      </w:r>
      <w:hyperlink r:id="rId8">
        <w:r>
          <w:rPr>
            <w:rStyle w:val="Hyperlink"/>
            <w:rFonts w:ascii="Times New Roman" w:hAnsi="Times New Roman"/>
            <w:b w:val="false"/>
            <w:i w:val="false"/>
            <w:color w:val="000000"/>
            <w:sz w:val="24"/>
          </w:rPr>
          <w:t>27—10.7</w:t>
        </w:r>
      </w:hyperlink>
      <w:r>
        <w:rPr>
          <w:rFonts w:ascii="Times New Roman" w:hAnsi="Times New Roman"/>
          <w:b w:val="false"/>
          <w:i w:val="false"/>
          <w:color w:val="000000"/>
          <w:sz w:val="24"/>
        </w:rPr>
        <w:t>(161A) shall apply.</w:t>
      </w:r>
    </w:p>
    <w:p>
      <w:pPr>
        <w:pBdr>
          <w:top w:space="10"/>
        </w:pBdr>
        <w:spacing w:before="0" w:after="0" w:line="480"/>
        <w:ind w:left="120"/>
        <w:jc w:val="center"/>
      </w:pPr>
      <w:r>
        <w:rPr>
          <w:rFonts w:ascii="Times New Roman" w:hAnsi="Times New Roman"/>
          <w:b w:val="false"/>
          <w:i w:val="false"/>
          <w:color w:val="000000"/>
          <w:sz w:val="16"/>
        </w:rPr>
        <w:t>PART 4</w:t>
      </w:r>
    </w:p>
    <w:p>
      <w:pPr>
        <w:spacing w:before="210" w:after="0" w:line="480"/>
        <w:ind w:left="120"/>
        <w:jc w:val="both"/>
      </w:pPr>
      <w:r>
        <w:rPr>
          <w:rFonts w:ascii="Times New Roman" w:hAnsi="Times New Roman"/>
          <w:b/>
          <w:i w:val="false"/>
          <w:color w:val="000000"/>
          <w:sz w:val="24"/>
        </w:rPr>
        <w:t>27—12.5</w:t>
      </w:r>
      <w:r>
        <w:rPr>
          <w:rFonts w:ascii="Times New Roman" w:hAnsi="Times New Roman"/>
          <w:b/>
          <w:i w:val="false"/>
          <w:color w:val="000000"/>
          <w:sz w:val="24"/>
        </w:rPr>
        <w:t xml:space="preserve">(161C) </w:t>
      </w:r>
      <w:r>
        <w:rPr>
          <w:rFonts w:ascii="Times New Roman" w:hAnsi="Times New Roman"/>
          <w:b/>
          <w:i w:val="false"/>
          <w:color w:val="000000"/>
          <w:sz w:val="24"/>
        </w:rPr>
        <w:t xml:space="preserve">Appropriations. </w:t>
      </w:r>
      <w:r>
        <w:rPr>
          <w:rFonts w:ascii="Times New Roman" w:hAnsi="Times New Roman"/>
          <w:b w:val="false"/>
          <w:i w:val="false"/>
          <w:color w:val="000000"/>
          <w:sz w:val="24"/>
        </w:rPr>
        <w:t xml:space="preserve">Resource enhancement and protection program—soil and water enhancement account funds are allocated to the water protection fund. These funds are utilized as stated in Iowa Code section </w:t>
      </w:r>
      <w:hyperlink r:id="rId9">
        <w:r>
          <w:rPr>
            <w:rStyle w:val="Hyperlink"/>
            <w:rFonts w:ascii="Times New Roman" w:hAnsi="Times New Roman"/>
            <w:b w:val="false"/>
            <w:i w:val="false"/>
            <w:color w:val="000000"/>
            <w:sz w:val="24"/>
          </w:rPr>
          <w:t>161C.4</w:t>
        </w:r>
      </w:hyperlink>
      <w:r>
        <w:rPr>
          <w:rFonts w:ascii="Times New Roman" w:hAnsi="Times New Roman"/>
          <w:b w:val="false"/>
          <w:i w:val="false"/>
          <w:color w:val="000000"/>
          <w:sz w:val="24"/>
        </w:rPr>
        <w:t>.</w:t>
      </w:r>
    </w:p>
    <w:p>
      <w:pPr>
        <w:pBdr>
          <w:top w:space="10"/>
        </w:pBdr>
        <w:spacing w:before="0" w:after="0" w:line="480"/>
        <w:ind w:left="120"/>
        <w:jc w:val="center"/>
      </w:pPr>
      <w:r>
        <w:rPr>
          <w:rFonts w:ascii="Times New Roman" w:hAnsi="Times New Roman"/>
          <w:b w:val="false"/>
          <w:i w:val="false"/>
          <w:color w:val="000000"/>
          <w:sz w:val="16"/>
        </w:rPr>
        <w:t>PART 5</w:t>
      </w:r>
    </w:p>
    <w:p>
      <w:pPr>
        <w:spacing w:before="210" w:after="0" w:line="480"/>
        <w:ind w:left="120"/>
        <w:jc w:val="both"/>
      </w:pPr>
      <w:r>
        <w:rPr>
          <w:rFonts w:ascii="Times New Roman" w:hAnsi="Times New Roman"/>
          <w:b/>
          <w:i w:val="false"/>
          <w:color w:val="000000"/>
          <w:sz w:val="24"/>
        </w:rPr>
        <w:t>27—12.6</w:t>
      </w:r>
      <w:r>
        <w:rPr>
          <w:rFonts w:ascii="Times New Roman" w:hAnsi="Times New Roman"/>
          <w:b/>
          <w:i w:val="false"/>
          <w:color w:val="000000"/>
          <w:sz w:val="24"/>
        </w:rPr>
        <w:t xml:space="preserve">(161C) </w:t>
      </w:r>
      <w:r>
        <w:rPr>
          <w:rFonts w:ascii="Times New Roman" w:hAnsi="Times New Roman"/>
          <w:b/>
          <w:i w:val="false"/>
          <w:color w:val="000000"/>
          <w:sz w:val="24"/>
        </w:rPr>
        <w:t xml:space="preserve">Water protection practices account. </w:t>
      </w:r>
      <w:r>
        <w:rPr>
          <w:rFonts w:ascii="Times New Roman" w:hAnsi="Times New Roman"/>
          <w:b w:val="false"/>
          <w:i w:val="false"/>
          <w:color w:val="000000"/>
          <w:sz w:val="24"/>
        </w:rPr>
        <w:t>This part defines procedures for allocation, recall, and reallocation of water protection practices funds to soil and water conservation districts and to the division’s reserve fund.</w:t>
      </w:r>
    </w:p>
    <w:p>
      <w:pPr>
        <w:spacing w:before="0" w:after="0" w:line="480"/>
        <w:ind w:left="120"/>
        <w:jc w:val="both"/>
      </w:pPr>
      <w:r>
        <w:rPr>
          <w:rFonts w:ascii="Times New Roman" w:hAnsi="Times New Roman"/>
          <w:b/>
          <w:i w:val="false"/>
          <w:color w:val="000000"/>
          <w:sz w:val="24"/>
        </w:rPr>
        <w:t>27—12.7</w:t>
      </w:r>
      <w:r>
        <w:rPr>
          <w:rFonts w:ascii="Times New Roman" w:hAnsi="Times New Roman"/>
          <w:b/>
          <w:i w:val="false"/>
          <w:color w:val="000000"/>
          <w:sz w:val="24"/>
        </w:rPr>
        <w:t xml:space="preserve">(161C) </w:t>
      </w:r>
      <w:r>
        <w:rPr>
          <w:rFonts w:ascii="Times New Roman" w:hAnsi="Times New Roman"/>
          <w:b/>
          <w:i w:val="false"/>
          <w:color w:val="000000"/>
          <w:sz w:val="24"/>
        </w:rPr>
        <w:t xml:space="preserve">Allocation to soil and water conservation districts.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12.7(1)</w:t>
      </w:r>
      <w:r>
        <w:rPr>
          <w:rFonts w:ascii="Times New Roman" w:hAnsi="Times New Roman"/>
          <w:b w:val="false"/>
          <w:i w:val="false"/>
          <w:color w:val="000000"/>
          <w:sz w:val="24"/>
        </w:rPr>
        <w:t> </w:t>
      </w:r>
      <w:r>
        <w:rPr>
          <w:rFonts w:ascii="Times New Roman" w:hAnsi="Times New Roman"/>
          <w:b w:val="false"/>
          <w:i/>
          <w:color w:val="000000"/>
          <w:sz w:val="24"/>
        </w:rPr>
        <w:t xml:space="preserve">Original allocation. </w:t>
      </w:r>
      <w:r>
        <w:rPr>
          <w:rFonts w:ascii="Times New Roman" w:hAnsi="Times New Roman"/>
          <w:b w:val="false"/>
          <w:i w:val="false"/>
          <w:color w:val="000000"/>
          <w:sz w:val="24"/>
        </w:rPr>
        <w:t>At the beginning of each fiscal year, funds appropriated to the water protection practices account will be allocated to districts. No less than 73.5 percent of the funds will be divided equally among 100 soil and water conservation districts and allocated to each district’s practices account. Twenty-five percent of the funds plus any additional appropriations for reforestation will be divided equally among the 100 soil and water conservation districts and allocated to each district’s forestry and native grasses and forbs account. No more than 1.5 percent will be held in a reserve fund.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12.7(2)</w:t>
      </w:r>
      <w:r>
        <w:rPr>
          <w:rFonts w:ascii="Times New Roman" w:hAnsi="Times New Roman"/>
          <w:b w:val="false"/>
          <w:i w:val="false"/>
          <w:color w:val="000000"/>
          <w:sz w:val="24"/>
        </w:rPr>
        <w:t> </w:t>
      </w:r>
      <w:r>
        <w:rPr>
          <w:rFonts w:ascii="Times New Roman" w:hAnsi="Times New Roman"/>
          <w:b w:val="false"/>
          <w:i/>
          <w:color w:val="000000"/>
          <w:sz w:val="24"/>
        </w:rPr>
        <w:t xml:space="preserve">Recall of funds. </w:t>
      </w:r>
      <w:r>
        <w:rPr>
          <w:rFonts w:ascii="Times New Roman" w:hAnsi="Times New Roman"/>
          <w:b w:val="false"/>
          <w:i w:val="false"/>
          <w:color w:val="000000"/>
          <w:sz w:val="24"/>
        </w:rPr>
        <w:t>Any funds allocated to the districts accounts that have not been spent or obligated by June 30 shall be recalled by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12.7(3)</w:t>
      </w:r>
      <w:r>
        <w:rPr>
          <w:rFonts w:ascii="Times New Roman" w:hAnsi="Times New Roman"/>
          <w:b w:val="false"/>
          <w:i w:val="false"/>
          <w:color w:val="000000"/>
          <w:sz w:val="24"/>
        </w:rPr>
        <w:t> </w:t>
      </w:r>
      <w:r>
        <w:rPr>
          <w:rFonts w:ascii="Times New Roman" w:hAnsi="Times New Roman"/>
          <w:b w:val="false"/>
          <w:i/>
          <w:color w:val="000000"/>
          <w:sz w:val="24"/>
        </w:rPr>
        <w:t xml:space="preserve">Supplemental allocations. </w:t>
      </w:r>
      <w:r>
        <w:rPr>
          <w:rFonts w:ascii="Times New Roman" w:hAnsi="Times New Roman"/>
          <w:b w:val="false"/>
          <w:i w:val="false"/>
          <w:color w:val="000000"/>
          <w:sz w:val="24"/>
        </w:rPr>
        <w:t>The districts shall identify valid applications and cost estimates, if any, for supplemental allocations to the division by September 1. Factors to be considered in making supplemental allocations to a district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sum of cost estimates (for pending applications) in each district, divided by the total cost estimates (for pending applications) for all 100 districts, multiplied by the remaining available program funds;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Whether the proposed supplemental allocation exceeds three times the original allocation to the district.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12.7(4)</w:t>
      </w:r>
      <w:r>
        <w:rPr>
          <w:rFonts w:ascii="Times New Roman" w:hAnsi="Times New Roman"/>
          <w:b w:val="false"/>
          <w:i w:val="false"/>
          <w:color w:val="000000"/>
          <w:sz w:val="24"/>
        </w:rPr>
        <w:t> </w:t>
      </w:r>
      <w:r>
        <w:rPr>
          <w:rFonts w:ascii="Times New Roman" w:hAnsi="Times New Roman"/>
          <w:b w:val="false"/>
          <w:i/>
          <w:color w:val="000000"/>
          <w:sz w:val="24"/>
        </w:rPr>
        <w:t xml:space="preserve">Reserve fund. </w:t>
      </w:r>
      <w:r>
        <w:rPr>
          <w:rFonts w:ascii="Times New Roman" w:hAnsi="Times New Roman"/>
          <w:b w:val="false"/>
          <w:i w:val="false"/>
          <w:color w:val="000000"/>
          <w:sz w:val="24"/>
        </w:rPr>
        <w:t>A reserve fund consisting of no more than 1.5 percent of the yearly appropriated funds will be set aside and used to fund contingencies that occur in the application of practices in the districts. At any time during the fiscal year, the reserve fund may be replenished with recalled funds to return it to the original balance, if needed.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12.7(5)</w:t>
      </w:r>
      <w:r>
        <w:rPr>
          <w:rFonts w:ascii="Times New Roman" w:hAnsi="Times New Roman"/>
          <w:b w:val="false"/>
          <w:i w:val="false"/>
          <w:color w:val="000000"/>
          <w:sz w:val="24"/>
        </w:rPr>
        <w:t> </w:t>
      </w:r>
      <w:r>
        <w:rPr>
          <w:rFonts w:ascii="Times New Roman" w:hAnsi="Times New Roman"/>
          <w:b w:val="false"/>
          <w:i/>
          <w:color w:val="000000"/>
          <w:sz w:val="24"/>
        </w:rPr>
        <w:t xml:space="preserve">Recall and reallocation of funds by division director. </w:t>
      </w:r>
      <w:r>
        <w:rPr>
          <w:rFonts w:ascii="Times New Roman" w:hAnsi="Times New Roman"/>
          <w:b w:val="false"/>
          <w:i w:val="false"/>
          <w:color w:val="000000"/>
          <w:sz w:val="24"/>
        </w:rPr>
        <w:t>If districts are not demonstrating an ability to use available funding, the division director may recall these funds and reallocate the funds to a district that has an immediate need for additional funding.</w:t>
      </w:r>
    </w:p>
    <w:p>
      <w:pPr>
        <w:pBdr>
          <w:top w:space="10"/>
        </w:pBdr>
        <w:spacing w:before="0" w:after="0" w:line="480"/>
        <w:ind w:left="120"/>
        <w:jc w:val="center"/>
      </w:pPr>
      <w:r>
        <w:rPr>
          <w:rFonts w:ascii="Times New Roman" w:hAnsi="Times New Roman"/>
          <w:b w:val="false"/>
          <w:i w:val="false"/>
          <w:color w:val="000000"/>
          <w:sz w:val="16"/>
        </w:rPr>
        <w:t>PART 6</w:t>
      </w:r>
    </w:p>
    <w:p>
      <w:pPr>
        <w:spacing w:before="210" w:after="0" w:line="480"/>
        <w:ind w:left="120"/>
        <w:jc w:val="both"/>
      </w:pPr>
      <w:r>
        <w:rPr>
          <w:rFonts w:ascii="Times New Roman" w:hAnsi="Times New Roman"/>
          <w:b/>
          <w:i w:val="false"/>
          <w:color w:val="000000"/>
          <w:sz w:val="24"/>
        </w:rPr>
        <w:t>27—12.8</w:t>
      </w:r>
      <w:r>
        <w:rPr>
          <w:rFonts w:ascii="Times New Roman" w:hAnsi="Times New Roman"/>
          <w:b/>
          <w:i w:val="false"/>
          <w:color w:val="000000"/>
          <w:sz w:val="24"/>
        </w:rPr>
        <w:t xml:space="preserve">(161C) </w:t>
      </w:r>
      <w:r>
        <w:rPr>
          <w:rFonts w:ascii="Times New Roman" w:hAnsi="Times New Roman"/>
          <w:b/>
          <w:i w:val="false"/>
          <w:color w:val="000000"/>
          <w:sz w:val="24"/>
        </w:rPr>
        <w:t xml:space="preserve">Applications and agreements. </w:t>
      </w:r>
      <w:r>
        <w:rPr>
          <w:rFonts w:ascii="Times New Roman" w:hAnsi="Times New Roman"/>
          <w:b w:val="false"/>
          <w:i w:val="false"/>
          <w:color w:val="000000"/>
          <w:sz w:val="24"/>
        </w:rPr>
        <w:t>Applicants may apply for water protection practices funds following the application process guidance provided by and utilizing documents specified by the soil and water conservation district in the county where the proposed practice would be located.</w:t>
      </w:r>
    </w:p>
    <w:p>
      <w:pPr>
        <w:spacing w:before="0" w:after="0" w:line="480"/>
        <w:ind w:left="120"/>
        <w:jc w:val="both"/>
      </w:pPr>
      <w:r>
        <w:rPr>
          <w:rFonts w:ascii="Times New Roman" w:hAnsi="Times New Roman"/>
          <w:b/>
          <w:i w:val="false"/>
          <w:color w:val="000000"/>
          <w:sz w:val="24"/>
        </w:rPr>
        <w:t>27—12.9</w:t>
      </w:r>
      <w:r>
        <w:rPr>
          <w:rFonts w:ascii="Times New Roman" w:hAnsi="Times New Roman"/>
          <w:b/>
          <w:i w:val="false"/>
          <w:color w:val="000000"/>
          <w:sz w:val="24"/>
        </w:rPr>
        <w:t xml:space="preserve">(161C) </w:t>
      </w:r>
      <w:r>
        <w:rPr>
          <w:rFonts w:ascii="Times New Roman" w:hAnsi="Times New Roman"/>
          <w:b/>
          <w:i w:val="false"/>
          <w:color w:val="000000"/>
          <w:sz w:val="24"/>
        </w:rPr>
        <w:t xml:space="preserve">Eligibility for financial incentives.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12.9(1)</w:t>
      </w:r>
      <w:r>
        <w:rPr>
          <w:rFonts w:ascii="Times New Roman" w:hAnsi="Times New Roman"/>
          <w:b w:val="false"/>
          <w:i w:val="false"/>
          <w:color w:val="000000"/>
          <w:sz w:val="24"/>
        </w:rPr>
        <w:t> </w:t>
      </w:r>
      <w:r>
        <w:rPr>
          <w:rFonts w:ascii="Times New Roman" w:hAnsi="Times New Roman"/>
          <w:b w:val="false"/>
          <w:i/>
          <w:color w:val="000000"/>
          <w:sz w:val="24"/>
        </w:rPr>
        <w:t xml:space="preserve">Practices installed on adjoining public lands. </w:t>
      </w:r>
      <w:r>
        <w:rPr>
          <w:rFonts w:ascii="Times New Roman" w:hAnsi="Times New Roman"/>
          <w:b w:val="false"/>
          <w:i w:val="false"/>
          <w:color w:val="000000"/>
          <w:sz w:val="24"/>
        </w:rPr>
        <w:t>Where water protection practices that benefit adjoining private lands are installed on public lands and costs of the installation are to be shared by the parties, water protection practices funds may be used to cost-share only the private landowner cost of the practice.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12.9(2)</w:t>
      </w:r>
      <w:r>
        <w:rPr>
          <w:rFonts w:ascii="Times New Roman" w:hAnsi="Times New Roman"/>
          <w:b w:val="false"/>
          <w:i w:val="false"/>
          <w:color w:val="000000"/>
          <w:sz w:val="24"/>
        </w:rPr>
        <w:t> </w:t>
      </w:r>
      <w:r>
        <w:rPr>
          <w:rFonts w:ascii="Times New Roman" w:hAnsi="Times New Roman"/>
          <w:b w:val="false"/>
          <w:i/>
          <w:color w:val="000000"/>
          <w:sz w:val="24"/>
        </w:rPr>
        <w:t xml:space="preserve">Ineligible lands.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Water protection practices funds shall not be used to reimburse other units of government for implementing water protection practices or to reimburse other applicants for the cost of implementing water protection practices on land owned by other units of government.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Privately owned land not used for agricultural production does not qualify for water protection practices funds, except for land where specific practices designated in policy established and maintained by the division of soil conservation and water quality are being established.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12.9(3)</w:t>
      </w:r>
      <w:r>
        <w:rPr>
          <w:rFonts w:ascii="Times New Roman" w:hAnsi="Times New Roman"/>
          <w:b w:val="false"/>
          <w:i w:val="false"/>
          <w:color w:val="000000"/>
          <w:sz w:val="24"/>
        </w:rPr>
        <w:t> </w:t>
      </w:r>
      <w:r>
        <w:rPr>
          <w:rFonts w:ascii="Times New Roman" w:hAnsi="Times New Roman"/>
          <w:b w:val="false"/>
          <w:i/>
          <w:color w:val="000000"/>
          <w:sz w:val="24"/>
        </w:rPr>
        <w:t xml:space="preserve">District priorities. </w:t>
      </w:r>
      <w:r>
        <w:rPr>
          <w:rFonts w:ascii="Times New Roman" w:hAnsi="Times New Roman"/>
          <w:b w:val="false"/>
          <w:i w:val="false"/>
          <w:color w:val="000000"/>
          <w:sz w:val="24"/>
        </w:rPr>
        <w:t xml:space="preserve">Applications for water protection practices will be evaluated and prioritized as specified in Iowa Code sections </w:t>
      </w:r>
      <w:hyperlink r:id="rId10">
        <w:r>
          <w:rPr>
            <w:rStyle w:val="Hyperlink"/>
            <w:rFonts w:ascii="Times New Roman" w:hAnsi="Times New Roman"/>
            <w:b w:val="false"/>
            <w:i w:val="false"/>
            <w:color w:val="000000"/>
            <w:sz w:val="24"/>
          </w:rPr>
          <w:t>161C.2</w:t>
        </w:r>
      </w:hyperlink>
      <w:r>
        <w:rPr>
          <w:rFonts w:ascii="Times New Roman" w:hAnsi="Times New Roman"/>
          <w:b w:val="false"/>
          <w:i w:val="false"/>
          <w:color w:val="000000"/>
          <w:sz w:val="24"/>
        </w:rPr>
        <w:t xml:space="preserve"> and </w:t>
      </w:r>
      <w:hyperlink r:id="rId11">
        <w:r>
          <w:rPr>
            <w:rStyle w:val="Hyperlink"/>
            <w:rFonts w:ascii="Times New Roman" w:hAnsi="Times New Roman"/>
            <w:b w:val="false"/>
            <w:i w:val="false"/>
            <w:color w:val="000000"/>
            <w:sz w:val="24"/>
          </w:rPr>
          <w:t>161C.4</w:t>
        </w:r>
      </w:hyperlink>
      <w:r>
        <w:rPr>
          <w:rFonts w:ascii="Times New Roman" w:hAnsi="Times New Roman"/>
          <w:b w:val="false"/>
          <w:i w:val="false"/>
          <w:color w:val="000000"/>
          <w:sz w:val="24"/>
        </w:rPr>
        <w:t>. The priority system adopted by the district shall be made available for review at the district office.</w:t>
      </w:r>
    </w:p>
    <w:p>
      <w:pPr>
        <w:pBdr>
          <w:top w:space="10"/>
        </w:pBdr>
        <w:spacing w:before="0" w:after="0" w:line="480"/>
        <w:ind w:left="120"/>
        <w:jc w:val="center"/>
      </w:pPr>
      <w:r>
        <w:rPr>
          <w:rFonts w:ascii="Times New Roman" w:hAnsi="Times New Roman"/>
          <w:b w:val="false"/>
          <w:i w:val="false"/>
          <w:color w:val="000000"/>
          <w:sz w:val="16"/>
        </w:rPr>
        <w:t>PART 7</w:t>
      </w:r>
    </w:p>
    <w:p>
      <w:pPr>
        <w:spacing w:before="210" w:after="0" w:line="480"/>
        <w:ind w:left="120"/>
        <w:jc w:val="both"/>
      </w:pPr>
      <w:r>
        <w:rPr>
          <w:rFonts w:ascii="Times New Roman" w:hAnsi="Times New Roman"/>
          <w:b/>
          <w:i w:val="false"/>
          <w:color w:val="000000"/>
          <w:sz w:val="24"/>
        </w:rPr>
        <w:t>27—12.10</w:t>
      </w:r>
      <w:r>
        <w:rPr>
          <w:rFonts w:ascii="Times New Roman" w:hAnsi="Times New Roman"/>
          <w:b/>
          <w:i w:val="false"/>
          <w:color w:val="000000"/>
          <w:sz w:val="24"/>
        </w:rPr>
        <w:t xml:space="preserve">(161C) </w:t>
      </w:r>
      <w:r>
        <w:rPr>
          <w:rFonts w:ascii="Times New Roman" w:hAnsi="Times New Roman"/>
          <w:b/>
          <w:i w:val="false"/>
          <w:color w:val="000000"/>
          <w:sz w:val="24"/>
        </w:rPr>
        <w:t xml:space="preserve">Water protection practices—practices account. </w:t>
      </w:r>
      <w:r>
        <w:rPr>
          <w:rFonts w:ascii="Times New Roman" w:hAnsi="Times New Roman"/>
          <w:b w:val="false"/>
          <w:i w:val="false"/>
          <w:color w:val="000000"/>
          <w:sz w:val="24"/>
        </w:rPr>
        <w:t xml:space="preserve">The purpose of this part is to establish the general conditions, eligible practices, specifications, and cost-share rates for the installation of water protection practices as authorized in Iowa Code chapter </w:t>
      </w:r>
      <w:hyperlink r:id="rId12">
        <w:r>
          <w:rPr>
            <w:rStyle w:val="Hyperlink"/>
            <w:rFonts w:ascii="Times New Roman" w:hAnsi="Times New Roman"/>
            <w:b w:val="false"/>
            <w:i w:val="false"/>
            <w:color w:val="000000"/>
            <w:sz w:val="24"/>
          </w:rPr>
          <w:t>161C</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27—12.11</w:t>
      </w:r>
      <w:r>
        <w:rPr>
          <w:rFonts w:ascii="Times New Roman" w:hAnsi="Times New Roman"/>
          <w:b/>
          <w:i w:val="false"/>
          <w:color w:val="000000"/>
          <w:sz w:val="24"/>
        </w:rPr>
        <w:t xml:space="preserve">(161C) </w:t>
      </w:r>
      <w:r>
        <w:rPr>
          <w:rFonts w:ascii="Times New Roman" w:hAnsi="Times New Roman"/>
          <w:b/>
          <w:i w:val="false"/>
          <w:color w:val="000000"/>
          <w:sz w:val="24"/>
        </w:rPr>
        <w:t xml:space="preserve">General conditions. </w:t>
      </w:r>
      <w:r>
        <w:rPr>
          <w:rFonts w:ascii="Times New Roman" w:hAnsi="Times New Roman"/>
          <w:b w:val="false"/>
          <w:i w:val="false"/>
          <w:color w:val="000000"/>
          <w:sz w:val="24"/>
        </w:rPr>
        <w:t>The following general conditions shall be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12.11(1)</w:t>
      </w:r>
      <w:r>
        <w:rPr>
          <w:rFonts w:ascii="Times New Roman" w:hAnsi="Times New Roman"/>
          <w:b w:val="false"/>
          <w:i w:val="false"/>
          <w:color w:val="000000"/>
          <w:sz w:val="24"/>
        </w:rPr>
        <w:t> </w:t>
      </w:r>
      <w:r>
        <w:rPr>
          <w:rFonts w:ascii="Times New Roman" w:hAnsi="Times New Roman"/>
          <w:b w:val="false"/>
          <w:i/>
          <w:color w:val="000000"/>
          <w:sz w:val="24"/>
        </w:rPr>
        <w:t xml:space="preserve">Practice need. </w:t>
      </w:r>
      <w:r>
        <w:rPr>
          <w:rFonts w:ascii="Times New Roman" w:hAnsi="Times New Roman"/>
          <w:b w:val="false"/>
          <w:i w:val="false"/>
          <w:color w:val="000000"/>
          <w:sz w:val="24"/>
        </w:rPr>
        <w:t>Water protection practices shall not be funded unless a technician has inspected the site and has determined that such practice(s) are needed to protect water quality.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12.11(2)</w:t>
      </w:r>
      <w:r>
        <w:rPr>
          <w:rFonts w:ascii="Times New Roman" w:hAnsi="Times New Roman"/>
          <w:b w:val="false"/>
          <w:i w:val="false"/>
          <w:color w:val="000000"/>
          <w:sz w:val="24"/>
        </w:rPr>
        <w:t> </w:t>
      </w:r>
      <w:r>
        <w:rPr>
          <w:rFonts w:ascii="Times New Roman" w:hAnsi="Times New Roman"/>
          <w:b w:val="false"/>
          <w:i/>
          <w:color w:val="000000"/>
          <w:sz w:val="24"/>
        </w:rPr>
        <w:t xml:space="preserve">Limitation of reimbursable cost of practices. </w:t>
      </w:r>
      <w:r>
        <w:rPr>
          <w:rFonts w:ascii="Times New Roman" w:hAnsi="Times New Roman"/>
          <w:b w:val="false"/>
          <w:i w:val="false"/>
          <w:color w:val="000000"/>
          <w:sz w:val="24"/>
        </w:rPr>
        <w:t>Overbuilding or other practice modifications that exceed the minimum requirements of the practice specifications shall be permitted, if approved by the technician. Any additional costs resulting from such overbuilding or exceeding of the minimum specifications shall not be cost shared by the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12.11(3)</w:t>
      </w:r>
      <w:r>
        <w:rPr>
          <w:rFonts w:ascii="Times New Roman" w:hAnsi="Times New Roman"/>
          <w:b w:val="false"/>
          <w:i w:val="false"/>
          <w:color w:val="000000"/>
          <w:sz w:val="24"/>
        </w:rPr>
        <w:t> </w:t>
      </w:r>
      <w:r>
        <w:rPr>
          <w:rFonts w:ascii="Times New Roman" w:hAnsi="Times New Roman"/>
          <w:b w:val="false"/>
          <w:i/>
          <w:color w:val="000000"/>
          <w:sz w:val="24"/>
        </w:rPr>
        <w:t xml:space="preserve">Materials. </w:t>
      </w:r>
      <w:r>
        <w:rPr>
          <w:rFonts w:ascii="Times New Roman" w:hAnsi="Times New Roman"/>
          <w:b w:val="false"/>
          <w:i w:val="false"/>
          <w:color w:val="000000"/>
          <w:sz w:val="24"/>
        </w:rPr>
        <w:t>Practices funded with water protection funds will utilize only new materials or used materials that meet or exceed design specifications and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12.11(4)</w:t>
      </w:r>
      <w:r>
        <w:rPr>
          <w:rFonts w:ascii="Times New Roman" w:hAnsi="Times New Roman"/>
          <w:b w:val="false"/>
          <w:i w:val="false"/>
          <w:color w:val="000000"/>
          <w:sz w:val="24"/>
        </w:rPr>
        <w:t> </w:t>
      </w:r>
      <w:r>
        <w:rPr>
          <w:rFonts w:ascii="Times New Roman" w:hAnsi="Times New Roman"/>
          <w:b w:val="false"/>
          <w:i/>
          <w:color w:val="000000"/>
          <w:sz w:val="24"/>
        </w:rPr>
        <w:t xml:space="preserve">Repair or maintenance. </w:t>
      </w:r>
      <w:r>
        <w:rPr>
          <w:rFonts w:ascii="Times New Roman" w:hAnsi="Times New Roman"/>
          <w:b w:val="false"/>
          <w:i w:val="false"/>
          <w:color w:val="000000"/>
          <w:sz w:val="24"/>
        </w:rPr>
        <w:t xml:space="preserve">Repair or maintenance of existing practices is not eligible for water protection cost share funding, except for the same purpose and under the same circumstances as specified in Iowa Code section </w:t>
      </w:r>
      <w:hyperlink r:id="rId13">
        <w:r>
          <w:rPr>
            <w:rStyle w:val="Hyperlink"/>
            <w:rFonts w:ascii="Times New Roman" w:hAnsi="Times New Roman"/>
            <w:b w:val="false"/>
            <w:i w:val="false"/>
            <w:color w:val="000000"/>
            <w:sz w:val="24"/>
          </w:rPr>
          <w:t>161A.75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27—12.12</w:t>
      </w:r>
      <w:r>
        <w:rPr>
          <w:rFonts w:ascii="Times New Roman" w:hAnsi="Times New Roman"/>
          <w:b/>
          <w:i w:val="false"/>
          <w:color w:val="000000"/>
          <w:sz w:val="24"/>
        </w:rPr>
        <w:t xml:space="preserve">(161C) </w:t>
      </w:r>
      <w:r>
        <w:rPr>
          <w:rFonts w:ascii="Times New Roman" w:hAnsi="Times New Roman"/>
          <w:b/>
          <w:i w:val="false"/>
          <w:color w:val="000000"/>
          <w:sz w:val="24"/>
        </w:rPr>
        <w:t xml:space="preserve">Eligible practices. </w:t>
      </w:r>
      <w:r>
        <w:rPr>
          <w:rFonts w:ascii="Times New Roman" w:hAnsi="Times New Roman"/>
          <w:b w:val="false"/>
          <w:i w:val="false"/>
          <w:color w:val="000000"/>
          <w:sz w:val="24"/>
        </w:rPr>
        <w:t>Practices listed in this rule are eligible for water protection practices fund reimbursement.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12.12(1)</w:t>
      </w:r>
      <w:r>
        <w:rPr>
          <w:rFonts w:ascii="Times New Roman" w:hAnsi="Times New Roman"/>
          <w:b w:val="false"/>
          <w:i w:val="false"/>
          <w:color w:val="000000"/>
          <w:sz w:val="24"/>
        </w:rPr>
        <w:t> </w:t>
      </w:r>
      <w:r>
        <w:rPr>
          <w:rFonts w:ascii="Times New Roman" w:hAnsi="Times New Roman"/>
          <w:b w:val="false"/>
          <w:i w:val="false"/>
          <w:color w:val="000000"/>
          <w:sz w:val="24"/>
        </w:rPr>
        <w:t>Critical area planting.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12.12(2)</w:t>
      </w:r>
      <w:r>
        <w:rPr>
          <w:rFonts w:ascii="Times New Roman" w:hAnsi="Times New Roman"/>
          <w:b w:val="false"/>
          <w:i w:val="false"/>
          <w:color w:val="000000"/>
          <w:sz w:val="24"/>
        </w:rPr>
        <w:t> </w:t>
      </w:r>
      <w:r>
        <w:rPr>
          <w:rFonts w:ascii="Times New Roman" w:hAnsi="Times New Roman"/>
          <w:b w:val="false"/>
          <w:i w:val="false"/>
          <w:color w:val="000000"/>
          <w:sz w:val="24"/>
        </w:rPr>
        <w:t>Contour buffer strips. The practice includes science-based trials of row crops integrated with prairie strips (STRIPS) planted on contour.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12.12(3)</w:t>
      </w:r>
      <w:r>
        <w:rPr>
          <w:rFonts w:ascii="Times New Roman" w:hAnsi="Times New Roman"/>
          <w:b w:val="false"/>
          <w:i w:val="false"/>
          <w:color w:val="000000"/>
          <w:sz w:val="24"/>
        </w:rPr>
        <w:t> </w:t>
      </w:r>
      <w:r>
        <w:rPr>
          <w:rFonts w:ascii="Times New Roman" w:hAnsi="Times New Roman"/>
          <w:b w:val="false"/>
          <w:i w:val="false"/>
          <w:color w:val="000000"/>
          <w:sz w:val="24"/>
        </w:rPr>
        <w:t>Field border.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12.12(4)</w:t>
      </w:r>
      <w:r>
        <w:rPr>
          <w:rFonts w:ascii="Times New Roman" w:hAnsi="Times New Roman"/>
          <w:b w:val="false"/>
          <w:i w:val="false"/>
          <w:color w:val="000000"/>
          <w:sz w:val="24"/>
        </w:rPr>
        <w:t> </w:t>
      </w:r>
      <w:r>
        <w:rPr>
          <w:rFonts w:ascii="Times New Roman" w:hAnsi="Times New Roman"/>
          <w:b w:val="false"/>
          <w:i w:val="false"/>
          <w:color w:val="000000"/>
          <w:sz w:val="24"/>
        </w:rPr>
        <w:t>Filter strips. The practice includes STRIPS planted at the foot slope.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12.12(5)</w:t>
      </w:r>
      <w:r>
        <w:rPr>
          <w:rFonts w:ascii="Times New Roman" w:hAnsi="Times New Roman"/>
          <w:b w:val="false"/>
          <w:i w:val="false"/>
          <w:color w:val="000000"/>
          <w:sz w:val="24"/>
        </w:rPr>
        <w:t> </w:t>
      </w:r>
      <w:r>
        <w:rPr>
          <w:rFonts w:ascii="Times New Roman" w:hAnsi="Times New Roman"/>
          <w:b w:val="false"/>
          <w:i w:val="false"/>
          <w:color w:val="000000"/>
          <w:sz w:val="24"/>
        </w:rPr>
        <w:t>Pasture and hay planting. The practice must include the conversion of land from row crop production to a permanent vegetative cover to control excessive water erosion.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12.12(6)</w:t>
      </w:r>
      <w:r>
        <w:rPr>
          <w:rFonts w:ascii="Times New Roman" w:hAnsi="Times New Roman"/>
          <w:b w:val="false"/>
          <w:i w:val="false"/>
          <w:color w:val="000000"/>
          <w:sz w:val="24"/>
        </w:rPr>
        <w:t> </w:t>
      </w:r>
      <w:r>
        <w:rPr>
          <w:rFonts w:ascii="Times New Roman" w:hAnsi="Times New Roman"/>
          <w:b w:val="false"/>
          <w:i w:val="false"/>
          <w:color w:val="000000"/>
          <w:sz w:val="24"/>
        </w:rPr>
        <w:t>Constructed wetlands. Land enrolled in the Conservation Reserve Program, or other similar programs, is eligible if this practice is not eligible for funding under that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12.12(7)</w:t>
      </w:r>
      <w:r>
        <w:rPr>
          <w:rFonts w:ascii="Times New Roman" w:hAnsi="Times New Roman"/>
          <w:b w:val="false"/>
          <w:i w:val="false"/>
          <w:color w:val="000000"/>
          <w:sz w:val="24"/>
        </w:rPr>
        <w:t> </w:t>
      </w:r>
      <w:r>
        <w:rPr>
          <w:rFonts w:ascii="Times New Roman" w:hAnsi="Times New Roman"/>
          <w:b w:val="false"/>
          <w:i w:val="false"/>
          <w:color w:val="000000"/>
          <w:sz w:val="24"/>
        </w:rPr>
        <w:t>Wetland restoration. Land enrolled in the Conservation Reserve Program, or other similar programs, is eligible if this practice is not eligible for funding under that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12.12(8)</w:t>
      </w:r>
      <w:r>
        <w:rPr>
          <w:rFonts w:ascii="Times New Roman" w:hAnsi="Times New Roman"/>
          <w:b w:val="false"/>
          <w:i w:val="false"/>
          <w:color w:val="000000"/>
          <w:sz w:val="24"/>
        </w:rPr>
        <w:t> </w:t>
      </w:r>
      <w:r>
        <w:rPr>
          <w:rFonts w:ascii="Times New Roman" w:hAnsi="Times New Roman"/>
          <w:b w:val="false"/>
          <w:i w:val="false"/>
          <w:color w:val="000000"/>
          <w:sz w:val="24"/>
        </w:rPr>
        <w:t>Streambank and shoreline protection. The practice must be bioengineered using combinations of stream-side plantings or trees, other vegetation, structural practices such as modification of slopes, and installation of reinforcing materials and in-stream structures. Land enrolled in the Conservation Reserve Program, or other similar programs, is eligible if this practice is not eligible for funding under that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12.12(9)</w:t>
      </w:r>
      <w:r>
        <w:rPr>
          <w:rFonts w:ascii="Times New Roman" w:hAnsi="Times New Roman"/>
          <w:b w:val="false"/>
          <w:i w:val="false"/>
          <w:color w:val="000000"/>
          <w:sz w:val="24"/>
        </w:rPr>
        <w:t> </w:t>
      </w:r>
      <w:r>
        <w:rPr>
          <w:rFonts w:ascii="Times New Roman" w:hAnsi="Times New Roman"/>
          <w:b w:val="false"/>
          <w:i w:val="false"/>
          <w:color w:val="000000"/>
          <w:sz w:val="24"/>
        </w:rPr>
        <w:t>Stormwater best management practices (BMPs). BMPs can be either: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Nonstructural BMPs, which include a range of pollution prevention, education, or institutional management and development practices designed to limit the conversion of rainfall to runoff and to prevent pollutants from entering runoff at the source of runoff generation;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Structural BMPs, which are engineered and constructed systems that are used to treat the stormwater at either the point of generation or the point of discharge to either the storm sewer system or to receiving waters (e.g., detention ponds or constructed wetlands).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12.12(10)</w:t>
      </w:r>
      <w:r>
        <w:rPr>
          <w:rFonts w:ascii="Times New Roman" w:hAnsi="Times New Roman"/>
          <w:b w:val="false"/>
          <w:i w:val="false"/>
          <w:color w:val="000000"/>
          <w:sz w:val="24"/>
        </w:rPr>
        <w:t> </w:t>
      </w:r>
      <w:r>
        <w:rPr>
          <w:rFonts w:ascii="Times New Roman" w:hAnsi="Times New Roman"/>
          <w:b w:val="false"/>
          <w:i w:val="false"/>
          <w:color w:val="000000"/>
          <w:sz w:val="24"/>
        </w:rPr>
        <w:t>Access control. The practice involves fencing an area to exclude livestock from intermittent streams (defined on U.S. Geological Survey topographic maps as “3 dot” blue-line streams) or larger streams. Eligibility for cost-share assistance extends only to fencing required to implement this practice and does not extend to fences along roads or land boundaries.</w:t>
      </w:r>
    </w:p>
    <w:p>
      <w:pPr>
        <w:spacing w:before="0" w:after="0" w:line="480"/>
        <w:ind w:left="120"/>
        <w:jc w:val="both"/>
      </w:pPr>
      <w:r>
        <w:rPr>
          <w:rFonts w:ascii="Times New Roman" w:hAnsi="Times New Roman"/>
          <w:b/>
          <w:i w:val="false"/>
          <w:color w:val="000000"/>
          <w:sz w:val="24"/>
        </w:rPr>
        <w:t>27—12.13</w:t>
      </w:r>
      <w:r>
        <w:rPr>
          <w:rFonts w:ascii="Times New Roman" w:hAnsi="Times New Roman"/>
          <w:b/>
          <w:i w:val="false"/>
          <w:color w:val="000000"/>
          <w:sz w:val="24"/>
        </w:rPr>
        <w:t xml:space="preserve">(161C) </w:t>
      </w:r>
      <w:r>
        <w:rPr>
          <w:rFonts w:ascii="Times New Roman" w:hAnsi="Times New Roman"/>
          <w:b/>
          <w:i w:val="false"/>
          <w:color w:val="000000"/>
          <w:sz w:val="24"/>
        </w:rPr>
        <w:t xml:space="preserve">Eligible practices for priority water resource protection. </w:t>
      </w:r>
      <w:r>
        <w:rPr>
          <w:rFonts w:ascii="Times New Roman" w:hAnsi="Times New Roman"/>
          <w:b w:val="false"/>
          <w:i w:val="false"/>
          <w:color w:val="000000"/>
          <w:sz w:val="24"/>
        </w:rPr>
        <w:t xml:space="preserve">Practices listed in this rule are eligible for water protection practice fund reimbursement only in those watersheds or to address water quality concerns approved under rule </w:t>
      </w:r>
      <w:hyperlink r:id="rId14">
        <w:r>
          <w:rPr>
            <w:rStyle w:val="Hyperlink"/>
            <w:rFonts w:ascii="Times New Roman" w:hAnsi="Times New Roman"/>
            <w:b w:val="false"/>
            <w:i w:val="false"/>
            <w:color w:val="000000"/>
            <w:sz w:val="24"/>
          </w:rPr>
          <w:t>27—12.14</w:t>
        </w:r>
      </w:hyperlink>
      <w:r>
        <w:rPr>
          <w:rFonts w:ascii="Times New Roman" w:hAnsi="Times New Roman"/>
          <w:b w:val="false"/>
          <w:i w:val="false"/>
          <w:color w:val="000000"/>
          <w:sz w:val="24"/>
        </w:rPr>
        <w:t>(161C).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12.13(1)</w:t>
      </w:r>
      <w:r>
        <w:rPr>
          <w:rFonts w:ascii="Times New Roman" w:hAnsi="Times New Roman"/>
          <w:b w:val="false"/>
          <w:i w:val="false"/>
          <w:color w:val="000000"/>
          <w:sz w:val="24"/>
        </w:rPr>
        <w:t> </w:t>
      </w:r>
      <w:r>
        <w:rPr>
          <w:rFonts w:ascii="Times New Roman" w:hAnsi="Times New Roman"/>
          <w:b w:val="false"/>
          <w:i w:val="false"/>
          <w:color w:val="000000"/>
          <w:sz w:val="24"/>
        </w:rPr>
        <w:t>Grassed waterway.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12.13(2)</w:t>
      </w:r>
      <w:r>
        <w:rPr>
          <w:rFonts w:ascii="Times New Roman" w:hAnsi="Times New Roman"/>
          <w:b w:val="false"/>
          <w:i w:val="false"/>
          <w:color w:val="000000"/>
          <w:sz w:val="24"/>
        </w:rPr>
        <w:t> </w:t>
      </w:r>
      <w:r>
        <w:rPr>
          <w:rFonts w:ascii="Times New Roman" w:hAnsi="Times New Roman"/>
          <w:b w:val="false"/>
          <w:i w:val="false"/>
          <w:color w:val="000000"/>
          <w:sz w:val="24"/>
        </w:rPr>
        <w:t>Grade stabilization structure.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12.13(3)</w:t>
      </w:r>
      <w:r>
        <w:rPr>
          <w:rFonts w:ascii="Times New Roman" w:hAnsi="Times New Roman"/>
          <w:b w:val="false"/>
          <w:i w:val="false"/>
          <w:color w:val="000000"/>
          <w:sz w:val="24"/>
        </w:rPr>
        <w:t> </w:t>
      </w:r>
      <w:r>
        <w:rPr>
          <w:rFonts w:ascii="Times New Roman" w:hAnsi="Times New Roman"/>
          <w:b w:val="false"/>
          <w:i w:val="false"/>
          <w:color w:val="000000"/>
          <w:sz w:val="24"/>
        </w:rPr>
        <w:t>Terrace.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12.13(4)</w:t>
      </w:r>
      <w:r>
        <w:rPr>
          <w:rFonts w:ascii="Times New Roman" w:hAnsi="Times New Roman"/>
          <w:b w:val="false"/>
          <w:i w:val="false"/>
          <w:color w:val="000000"/>
          <w:sz w:val="24"/>
        </w:rPr>
        <w:t> </w:t>
      </w:r>
      <w:r>
        <w:rPr>
          <w:rFonts w:ascii="Times New Roman" w:hAnsi="Times New Roman"/>
          <w:b w:val="false"/>
          <w:i w:val="false"/>
          <w:color w:val="000000"/>
          <w:sz w:val="24"/>
        </w:rPr>
        <w:t>Water and sediment control basin.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12.13(5)</w:t>
      </w:r>
      <w:r>
        <w:rPr>
          <w:rFonts w:ascii="Times New Roman" w:hAnsi="Times New Roman"/>
          <w:b w:val="false"/>
          <w:i w:val="false"/>
          <w:color w:val="000000"/>
          <w:sz w:val="24"/>
        </w:rPr>
        <w:t> </w:t>
      </w:r>
      <w:r>
        <w:rPr>
          <w:rFonts w:ascii="Times New Roman" w:hAnsi="Times New Roman"/>
          <w:b w:val="false"/>
          <w:i w:val="false"/>
          <w:color w:val="000000"/>
          <w:sz w:val="24"/>
        </w:rPr>
        <w:t>Diversion.</w:t>
      </w:r>
    </w:p>
    <w:p>
      <w:pPr>
        <w:spacing w:before="210" w:after="0" w:line="480"/>
        <w:ind w:left="120"/>
        <w:jc w:val="both"/>
      </w:pPr>
      <w:r>
        <w:rPr>
          <w:rFonts w:ascii="Times New Roman" w:hAnsi="Times New Roman"/>
          <w:b/>
          <w:i w:val="false"/>
          <w:color w:val="000000"/>
          <w:sz w:val="24"/>
        </w:rPr>
        <w:t>27—12.14</w:t>
      </w:r>
      <w:r>
        <w:rPr>
          <w:rFonts w:ascii="Times New Roman" w:hAnsi="Times New Roman"/>
          <w:b/>
          <w:i w:val="false"/>
          <w:color w:val="000000"/>
          <w:sz w:val="24"/>
        </w:rPr>
        <w:t xml:space="preserve">(161C) </w:t>
      </w:r>
      <w:r>
        <w:rPr>
          <w:rFonts w:ascii="Times New Roman" w:hAnsi="Times New Roman"/>
          <w:b/>
          <w:i w:val="false"/>
          <w:color w:val="000000"/>
          <w:sz w:val="24"/>
        </w:rPr>
        <w:t xml:space="preserve">Priority watersheds and water quality concerns. </w:t>
      </w:r>
      <w:r>
        <w:rPr>
          <w:rFonts w:ascii="Times New Roman" w:hAnsi="Times New Roman"/>
          <w:b w:val="false"/>
          <w:i w:val="false"/>
          <w:color w:val="000000"/>
          <w:sz w:val="24"/>
        </w:rPr>
        <w:t>Soil and water conservation district commissioners may apply for the designation of a priority watershed or priority water quality concern for their district through a process established and maintained in policy set by the division of soil conservation and water quality.</w:t>
      </w:r>
    </w:p>
    <w:p>
      <w:pPr>
        <w:spacing w:before="0" w:after="0" w:line="480"/>
        <w:ind w:left="120"/>
        <w:jc w:val="both"/>
      </w:pPr>
      <w:r>
        <w:rPr>
          <w:rFonts w:ascii="Times New Roman" w:hAnsi="Times New Roman"/>
          <w:b/>
          <w:i w:val="false"/>
          <w:color w:val="000000"/>
          <w:sz w:val="24"/>
        </w:rPr>
        <w:t>27—12.15</w:t>
      </w:r>
      <w:r>
        <w:rPr>
          <w:rFonts w:ascii="Times New Roman" w:hAnsi="Times New Roman"/>
          <w:b/>
          <w:i w:val="false"/>
          <w:color w:val="000000"/>
          <w:sz w:val="24"/>
        </w:rPr>
        <w:t xml:space="preserve">(161C) </w:t>
      </w:r>
      <w:r>
        <w:rPr>
          <w:rFonts w:ascii="Times New Roman" w:hAnsi="Times New Roman"/>
          <w:b/>
          <w:i w:val="false"/>
          <w:color w:val="000000"/>
          <w:sz w:val="24"/>
        </w:rPr>
        <w:t xml:space="preserve">Practice standards and specifications.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12.15(1)</w:t>
      </w:r>
      <w:r>
        <w:rPr>
          <w:rFonts w:ascii="Times New Roman" w:hAnsi="Times New Roman"/>
          <w:b w:val="false"/>
          <w:i w:val="false"/>
          <w:color w:val="000000"/>
          <w:sz w:val="24"/>
        </w:rPr>
        <w:t> </w:t>
      </w:r>
      <w:r>
        <w:rPr>
          <w:rFonts w:ascii="Times New Roman" w:hAnsi="Times New Roman"/>
          <w:b w:val="false"/>
          <w:i w:val="false"/>
          <w:color w:val="000000"/>
          <w:sz w:val="24"/>
        </w:rPr>
        <w:t>Where applicable, water protection practices shall meet Natural Resources Conservation Service (NRCS) practice standards and specifications, which may be accessed through the NRCS Field Office Technical Guide.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12.15(2)</w:t>
      </w:r>
      <w:r>
        <w:rPr>
          <w:rFonts w:ascii="Times New Roman" w:hAnsi="Times New Roman"/>
          <w:b w:val="false"/>
          <w:i w:val="false"/>
          <w:color w:val="000000"/>
          <w:sz w:val="24"/>
        </w:rPr>
        <w:t> </w:t>
      </w:r>
      <w:r>
        <w:rPr>
          <w:rFonts w:ascii="Times New Roman" w:hAnsi="Times New Roman"/>
          <w:b w:val="false"/>
          <w:i w:val="false"/>
          <w:color w:val="000000"/>
          <w:sz w:val="24"/>
        </w:rPr>
        <w:t>Stormwater best management practices shall meet practice standards and specifications, which may be accessed through the Iowa Stormwater Management Manual or other design standards and specifications approved by the division of soil conservation and water quality.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12.15(3)</w:t>
      </w:r>
      <w:r>
        <w:rPr>
          <w:rFonts w:ascii="Times New Roman" w:hAnsi="Times New Roman"/>
          <w:b w:val="false"/>
          <w:i w:val="false"/>
          <w:color w:val="000000"/>
          <w:sz w:val="24"/>
        </w:rPr>
        <w:t> </w:t>
      </w:r>
      <w:r>
        <w:rPr>
          <w:rFonts w:ascii="Times New Roman" w:hAnsi="Times New Roman"/>
          <w:b w:val="false"/>
          <w:i w:val="false"/>
          <w:color w:val="000000"/>
          <w:sz w:val="24"/>
        </w:rPr>
        <w:t>Copies of standards and specifications may be requested in the district office where the practice will be implemented.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12.15(4)</w:t>
      </w:r>
      <w:r>
        <w:rPr>
          <w:rFonts w:ascii="Times New Roman" w:hAnsi="Times New Roman"/>
          <w:b w:val="false"/>
          <w:i w:val="false"/>
          <w:color w:val="000000"/>
          <w:sz w:val="24"/>
        </w:rPr>
        <w:t> </w:t>
      </w:r>
      <w:r>
        <w:rPr>
          <w:rFonts w:ascii="Times New Roman" w:hAnsi="Times New Roman"/>
          <w:b w:val="false"/>
          <w:i w:val="false"/>
          <w:color w:val="000000"/>
          <w:sz w:val="24"/>
        </w:rPr>
        <w:t>To the extent of any inconsistency between the general conditions and the specifications, the general conditions shall control.</w:t>
      </w:r>
    </w:p>
    <w:p>
      <w:pPr>
        <w:spacing w:before="210" w:after="0" w:line="480"/>
        <w:ind w:left="120"/>
        <w:jc w:val="both"/>
      </w:pPr>
      <w:r>
        <w:rPr>
          <w:rFonts w:ascii="Times New Roman" w:hAnsi="Times New Roman"/>
          <w:b/>
          <w:i w:val="false"/>
          <w:color w:val="000000"/>
          <w:sz w:val="24"/>
        </w:rPr>
        <w:t>27—12.16</w:t>
      </w:r>
      <w:r>
        <w:rPr>
          <w:rFonts w:ascii="Times New Roman" w:hAnsi="Times New Roman"/>
          <w:b/>
          <w:i w:val="false"/>
          <w:color w:val="000000"/>
          <w:sz w:val="24"/>
        </w:rPr>
        <w:t xml:space="preserve">(161C) </w:t>
      </w:r>
      <w:r>
        <w:rPr>
          <w:rFonts w:ascii="Times New Roman" w:hAnsi="Times New Roman"/>
          <w:b/>
          <w:i w:val="false"/>
          <w:color w:val="000000"/>
          <w:sz w:val="24"/>
        </w:rPr>
        <w:t xml:space="preserve">Cost-share rates. </w:t>
      </w:r>
      <w:r>
        <w:rPr>
          <w:rFonts w:ascii="Times New Roman" w:hAnsi="Times New Roman"/>
          <w:b w:val="false"/>
          <w:i w:val="false"/>
          <w:color w:val="000000"/>
          <w:sz w:val="24"/>
        </w:rPr>
        <w:t>The cost-share rate to be provided from water protection practices—practices account funding is not to exceed 50 percent of the estimated or the eligible cost of practice implementation, whichever is less. This funding may be used in combination with other public funds to provide a total cost-share rate not to exceed 75 percent of the lesser of the eligible or the estimated cost of implementation. Additional restrictions on this funding may be imposed in policy established and maintained by the division of soil conservation and water quality.</w:t>
      </w:r>
    </w:p>
    <w:p>
      <w:pPr>
        <w:pBdr>
          <w:top w:space="10"/>
        </w:pBdr>
        <w:spacing w:before="0" w:after="0" w:line="480"/>
        <w:ind w:left="120"/>
        <w:jc w:val="center"/>
      </w:pPr>
      <w:r>
        <w:rPr>
          <w:rFonts w:ascii="Times New Roman" w:hAnsi="Times New Roman"/>
          <w:b w:val="false"/>
          <w:i w:val="false"/>
          <w:color w:val="000000"/>
          <w:sz w:val="16"/>
        </w:rPr>
        <w:t>PART 8</w:t>
      </w:r>
    </w:p>
    <w:p>
      <w:pPr>
        <w:spacing w:before="210" w:after="0" w:line="480"/>
        <w:ind w:left="120"/>
        <w:jc w:val="both"/>
      </w:pPr>
      <w:r>
        <w:rPr>
          <w:rFonts w:ascii="Times New Roman" w:hAnsi="Times New Roman"/>
          <w:b/>
          <w:i w:val="false"/>
          <w:color w:val="000000"/>
          <w:sz w:val="24"/>
        </w:rPr>
        <w:t>27—12.17</w:t>
      </w:r>
      <w:r>
        <w:rPr>
          <w:rFonts w:ascii="Times New Roman" w:hAnsi="Times New Roman"/>
          <w:b/>
          <w:i w:val="false"/>
          <w:color w:val="000000"/>
          <w:sz w:val="24"/>
        </w:rPr>
        <w:t xml:space="preserve">(161C) </w:t>
      </w:r>
      <w:r>
        <w:rPr>
          <w:rFonts w:ascii="Times New Roman" w:hAnsi="Times New Roman"/>
          <w:b/>
          <w:i w:val="false"/>
          <w:color w:val="000000"/>
          <w:sz w:val="24"/>
        </w:rPr>
        <w:t xml:space="preserve">Water protection practices—forestry, native grasses and forbs account. </w:t>
      </w:r>
      <w:r>
        <w:rPr>
          <w:rFonts w:ascii="Times New Roman" w:hAnsi="Times New Roman"/>
          <w:b w:val="false"/>
          <w:i w:val="false"/>
          <w:color w:val="000000"/>
          <w:sz w:val="24"/>
        </w:rPr>
        <w:t xml:space="preserve">The purpose of this part is to establish the general conditions, eligible practices, specifications and cost-share rates for the installation of forestry, native grasses and forbs as authorized in Iowa Code chapter </w:t>
      </w:r>
      <w:hyperlink r:id="rId15">
        <w:r>
          <w:rPr>
            <w:rStyle w:val="Hyperlink"/>
            <w:rFonts w:ascii="Times New Roman" w:hAnsi="Times New Roman"/>
            <w:b w:val="false"/>
            <w:i w:val="false"/>
            <w:color w:val="000000"/>
            <w:sz w:val="24"/>
          </w:rPr>
          <w:t>161C</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27—12.18</w:t>
      </w:r>
      <w:r>
        <w:rPr>
          <w:rFonts w:ascii="Times New Roman" w:hAnsi="Times New Roman"/>
          <w:b/>
          <w:i w:val="false"/>
          <w:color w:val="000000"/>
          <w:sz w:val="24"/>
        </w:rPr>
        <w:t xml:space="preserve">(161C) </w:t>
      </w:r>
      <w:r>
        <w:rPr>
          <w:rFonts w:ascii="Times New Roman" w:hAnsi="Times New Roman"/>
          <w:b/>
          <w:i w:val="false"/>
          <w:color w:val="000000"/>
          <w:sz w:val="24"/>
        </w:rPr>
        <w:t xml:space="preserve">General conditions. </w:t>
      </w:r>
      <w:r>
        <w:rPr>
          <w:rFonts w:ascii="Times New Roman" w:hAnsi="Times New Roman"/>
          <w:b w:val="false"/>
          <w:i w:val="false"/>
          <w:color w:val="000000"/>
          <w:sz w:val="24"/>
        </w:rPr>
        <w:t>The following general conditions shall be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12.18(1)</w:t>
      </w:r>
      <w:r>
        <w:rPr>
          <w:rFonts w:ascii="Times New Roman" w:hAnsi="Times New Roman"/>
          <w:b w:val="false"/>
          <w:i w:val="false"/>
          <w:color w:val="000000"/>
          <w:sz w:val="24"/>
        </w:rPr>
        <w:t> </w:t>
      </w:r>
      <w:r>
        <w:rPr>
          <w:rFonts w:ascii="Times New Roman" w:hAnsi="Times New Roman"/>
          <w:b w:val="false"/>
          <w:i/>
          <w:color w:val="000000"/>
          <w:sz w:val="24"/>
        </w:rPr>
        <w:t xml:space="preserve">Practice need. </w:t>
      </w:r>
      <w:r>
        <w:rPr>
          <w:rFonts w:ascii="Times New Roman" w:hAnsi="Times New Roman"/>
          <w:b w:val="false"/>
          <w:i w:val="false"/>
          <w:color w:val="000000"/>
          <w:sz w:val="24"/>
        </w:rPr>
        <w:t>The designated practices shall not be funded unless the certifying technician has inspected the site and has determined that such practice(s) is needed.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12.18(2)</w:t>
      </w:r>
      <w:r>
        <w:rPr>
          <w:rFonts w:ascii="Times New Roman" w:hAnsi="Times New Roman"/>
          <w:b w:val="false"/>
          <w:i w:val="false"/>
          <w:color w:val="000000"/>
          <w:sz w:val="24"/>
        </w:rPr>
        <w:t> </w:t>
      </w:r>
      <w:r>
        <w:rPr>
          <w:rFonts w:ascii="Times New Roman" w:hAnsi="Times New Roman"/>
          <w:b w:val="false"/>
          <w:i/>
          <w:color w:val="000000"/>
          <w:sz w:val="24"/>
        </w:rPr>
        <w:t xml:space="preserve">Limitation of reimbursable cost of practices. </w:t>
      </w:r>
      <w:r>
        <w:rPr>
          <w:rFonts w:ascii="Times New Roman" w:hAnsi="Times New Roman"/>
          <w:b w:val="false"/>
          <w:i w:val="false"/>
          <w:color w:val="000000"/>
          <w:sz w:val="24"/>
        </w:rPr>
        <w:t xml:space="preserve">Restrictions imposed on this are the same as stated in subrule </w:t>
      </w:r>
      <w:hyperlink r:id="rId16">
        <w:r>
          <w:rPr>
            <w:rStyle w:val="Hyperlink"/>
            <w:rFonts w:ascii="Times New Roman" w:hAnsi="Times New Roman"/>
            <w:b w:val="false"/>
            <w:i w:val="false"/>
            <w:color w:val="000000"/>
            <w:sz w:val="24"/>
          </w:rPr>
          <w:t>12.11</w:t>
        </w:r>
      </w:hyperlink>
      <w:r>
        <w:rPr>
          <w:rFonts w:ascii="Times New Roman" w:hAnsi="Times New Roman"/>
          <w:b w:val="false"/>
          <w:i w:val="false"/>
          <w:color w:val="000000"/>
          <w:sz w:val="24"/>
        </w:rPr>
        <w:t>(2).</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12.18(3)</w:t>
      </w:r>
      <w:r>
        <w:rPr>
          <w:rFonts w:ascii="Times New Roman" w:hAnsi="Times New Roman"/>
          <w:b w:val="false"/>
          <w:i w:val="false"/>
          <w:color w:val="000000"/>
          <w:sz w:val="24"/>
        </w:rPr>
        <w:t> </w:t>
      </w:r>
      <w:r>
        <w:rPr>
          <w:rFonts w:ascii="Times New Roman" w:hAnsi="Times New Roman"/>
          <w:b w:val="false"/>
          <w:i/>
          <w:color w:val="000000"/>
          <w:sz w:val="24"/>
        </w:rPr>
        <w:t xml:space="preserve">Materials. </w:t>
      </w:r>
      <w:r>
        <w:rPr>
          <w:rFonts w:ascii="Times New Roman" w:hAnsi="Times New Roman"/>
          <w:b w:val="false"/>
          <w:i w:val="false"/>
          <w:color w:val="000000"/>
          <w:sz w:val="24"/>
        </w:rPr>
        <w:t xml:space="preserve">Restrictions imposed on this are the same as stated in subrule </w:t>
      </w:r>
      <w:hyperlink r:id="rId17">
        <w:r>
          <w:rPr>
            <w:rStyle w:val="Hyperlink"/>
            <w:rFonts w:ascii="Times New Roman" w:hAnsi="Times New Roman"/>
            <w:b w:val="false"/>
            <w:i w:val="false"/>
            <w:color w:val="000000"/>
            <w:sz w:val="24"/>
          </w:rPr>
          <w:t>12.11</w:t>
        </w:r>
      </w:hyperlink>
      <w:r>
        <w:rPr>
          <w:rFonts w:ascii="Times New Roman" w:hAnsi="Times New Roman"/>
          <w:b w:val="false"/>
          <w:i w:val="false"/>
          <w:color w:val="000000"/>
          <w:sz w:val="24"/>
        </w:rPr>
        <w:t>(3).</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12.18(4)</w:t>
      </w:r>
      <w:r>
        <w:rPr>
          <w:rFonts w:ascii="Times New Roman" w:hAnsi="Times New Roman"/>
          <w:b w:val="false"/>
          <w:i w:val="false"/>
          <w:color w:val="000000"/>
          <w:sz w:val="24"/>
        </w:rPr>
        <w:t> </w:t>
      </w:r>
      <w:r>
        <w:rPr>
          <w:rFonts w:ascii="Times New Roman" w:hAnsi="Times New Roman"/>
          <w:b w:val="false"/>
          <w:i/>
          <w:color w:val="000000"/>
          <w:sz w:val="24"/>
        </w:rPr>
        <w:t xml:space="preserve">Forest management plan required. </w:t>
      </w:r>
      <w:r>
        <w:rPr>
          <w:rFonts w:ascii="Times New Roman" w:hAnsi="Times New Roman"/>
          <w:b w:val="false"/>
          <w:i w:val="false"/>
          <w:color w:val="000000"/>
          <w:sz w:val="24"/>
        </w:rPr>
        <w:t>A forest management plan approved by the forestry bureau of the department of natural resources is required for the forestry practices designated in policy established and maintained by the division of soil conservation and water quality.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12.18(5)</w:t>
      </w:r>
      <w:r>
        <w:rPr>
          <w:rFonts w:ascii="Times New Roman" w:hAnsi="Times New Roman"/>
          <w:b w:val="false"/>
          <w:i w:val="false"/>
          <w:color w:val="000000"/>
          <w:sz w:val="24"/>
        </w:rPr>
        <w:t> </w:t>
      </w:r>
      <w:r>
        <w:rPr>
          <w:rFonts w:ascii="Times New Roman" w:hAnsi="Times New Roman"/>
          <w:b w:val="false"/>
          <w:i/>
          <w:color w:val="000000"/>
          <w:sz w:val="24"/>
        </w:rPr>
        <w:t xml:space="preserve">Eligibility of practices. </w:t>
      </w:r>
      <w:r>
        <w:rPr>
          <w:rFonts w:ascii="Times New Roman" w:hAnsi="Times New Roman"/>
          <w:b w:val="false"/>
          <w:i w:val="false"/>
          <w:color w:val="000000"/>
          <w:sz w:val="24"/>
        </w:rPr>
        <w:t>Planting or management of trees for nut orchards or Christmas tree production is only eligible as intermediate products in stands being established for other approved purposes. Planting or management of trees for ornamental purposes or fruit orchards is not eligible.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12.18(6)</w:t>
      </w:r>
      <w:r>
        <w:rPr>
          <w:rFonts w:ascii="Times New Roman" w:hAnsi="Times New Roman"/>
          <w:b w:val="false"/>
          <w:i w:val="false"/>
          <w:color w:val="000000"/>
          <w:sz w:val="24"/>
        </w:rPr>
        <w:t> </w:t>
      </w:r>
      <w:r>
        <w:rPr>
          <w:rFonts w:ascii="Times New Roman" w:hAnsi="Times New Roman"/>
          <w:b w:val="false"/>
          <w:i/>
          <w:color w:val="000000"/>
          <w:sz w:val="24"/>
        </w:rPr>
        <w:t xml:space="preserve">Repair or maintenance. </w:t>
      </w:r>
      <w:r>
        <w:rPr>
          <w:rFonts w:ascii="Times New Roman" w:hAnsi="Times New Roman"/>
          <w:b w:val="false"/>
          <w:i w:val="false"/>
          <w:color w:val="000000"/>
          <w:sz w:val="24"/>
        </w:rPr>
        <w:t xml:space="preserve">Use of funding for this purpose is the same as stated in subrule </w:t>
      </w:r>
      <w:hyperlink r:id="rId18">
        <w:r>
          <w:rPr>
            <w:rStyle w:val="Hyperlink"/>
            <w:rFonts w:ascii="Times New Roman" w:hAnsi="Times New Roman"/>
            <w:b w:val="false"/>
            <w:i w:val="false"/>
            <w:color w:val="000000"/>
            <w:sz w:val="24"/>
          </w:rPr>
          <w:t>12.11</w:t>
        </w:r>
      </w:hyperlink>
      <w:r>
        <w:rPr>
          <w:rFonts w:ascii="Times New Roman" w:hAnsi="Times New Roman"/>
          <w:b w:val="false"/>
          <w:i w:val="false"/>
          <w:color w:val="000000"/>
          <w:sz w:val="24"/>
        </w:rPr>
        <w:t>(4).</w:t>
      </w:r>
    </w:p>
    <w:p>
      <w:pPr>
        <w:spacing w:before="0" w:after="0" w:line="480"/>
        <w:ind w:left="120"/>
        <w:jc w:val="both"/>
      </w:pPr>
      <w:r>
        <w:rPr>
          <w:rFonts w:ascii="Times New Roman" w:hAnsi="Times New Roman"/>
          <w:b/>
          <w:i w:val="false"/>
          <w:color w:val="000000"/>
          <w:sz w:val="24"/>
        </w:rPr>
        <w:t>27—12.19</w:t>
      </w:r>
      <w:r>
        <w:rPr>
          <w:rFonts w:ascii="Times New Roman" w:hAnsi="Times New Roman"/>
          <w:b/>
          <w:i w:val="false"/>
          <w:color w:val="000000"/>
          <w:sz w:val="24"/>
        </w:rPr>
        <w:t xml:space="preserve">(161C) </w:t>
      </w:r>
      <w:r>
        <w:rPr>
          <w:rFonts w:ascii="Times New Roman" w:hAnsi="Times New Roman"/>
          <w:b/>
          <w:i w:val="false"/>
          <w:color w:val="000000"/>
          <w:sz w:val="24"/>
        </w:rPr>
        <w:t xml:space="preserve">Eligible practices. </w:t>
      </w:r>
      <w:r>
        <w:rPr>
          <w:rFonts w:ascii="Times New Roman" w:hAnsi="Times New Roman"/>
          <w:b w:val="false"/>
          <w:i w:val="false"/>
          <w:color w:val="000000"/>
          <w:sz w:val="24"/>
        </w:rPr>
        <w:t>Practices listed in this rule are eligible for water protection forestry, native grasses and forbs fund reimbursement.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12.19(1)</w:t>
      </w:r>
      <w:r>
        <w:rPr>
          <w:rFonts w:ascii="Times New Roman" w:hAnsi="Times New Roman"/>
          <w:b w:val="false"/>
          <w:i w:val="false"/>
          <w:color w:val="000000"/>
          <w:sz w:val="24"/>
        </w:rPr>
        <w:t> </w:t>
      </w:r>
      <w:r>
        <w:rPr>
          <w:rFonts w:ascii="Times New Roman" w:hAnsi="Times New Roman"/>
          <w:b w:val="false"/>
          <w:i w:val="false"/>
          <w:color w:val="000000"/>
          <w:sz w:val="24"/>
        </w:rPr>
        <w:t>Windbreaks. A belt of trees or shrubs established or restored next to an occupied structure. A windbreak must meet either NRCS Standard 380-Windbreak/shelterbelt establishment or NRCS Standard 650-Windbreak/shelterbelt renovation.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12.19(2)</w:t>
      </w:r>
      <w:r>
        <w:rPr>
          <w:rFonts w:ascii="Times New Roman" w:hAnsi="Times New Roman"/>
          <w:b w:val="false"/>
          <w:i w:val="false"/>
          <w:color w:val="000000"/>
          <w:sz w:val="24"/>
        </w:rPr>
        <w:t> </w:t>
      </w:r>
      <w:r>
        <w:rPr>
          <w:rFonts w:ascii="Times New Roman" w:hAnsi="Times New Roman"/>
          <w:b w:val="false"/>
          <w:i w:val="false"/>
          <w:color w:val="000000"/>
          <w:sz w:val="24"/>
        </w:rPr>
        <w:t>Field windbreak. A belt of trees or shrubs established or restored, within or adjacent to a field. A windbreak must meet either NRCS Standard 380-Windbreak/shelterbelt establishment or NRCS Standard 650-Windbreak/shelterbelt renovation.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12.19(3)</w:t>
      </w:r>
      <w:r>
        <w:rPr>
          <w:rFonts w:ascii="Times New Roman" w:hAnsi="Times New Roman"/>
          <w:b w:val="false"/>
          <w:i w:val="false"/>
          <w:color w:val="000000"/>
          <w:sz w:val="24"/>
        </w:rPr>
        <w:t> </w:t>
      </w:r>
      <w:r>
        <w:rPr>
          <w:rFonts w:ascii="Times New Roman" w:hAnsi="Times New Roman"/>
          <w:b w:val="false"/>
          <w:i w:val="false"/>
          <w:color w:val="000000"/>
          <w:sz w:val="24"/>
        </w:rPr>
        <w:t>Forest stand improvement. Minimum eligible area is five acres.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12.19(4)</w:t>
      </w:r>
      <w:r>
        <w:rPr>
          <w:rFonts w:ascii="Times New Roman" w:hAnsi="Times New Roman"/>
          <w:b w:val="false"/>
          <w:i w:val="false"/>
          <w:color w:val="000000"/>
          <w:sz w:val="24"/>
        </w:rPr>
        <w:t> </w:t>
      </w:r>
      <w:r>
        <w:rPr>
          <w:rFonts w:ascii="Times New Roman" w:hAnsi="Times New Roman"/>
          <w:b w:val="false"/>
          <w:i w:val="false"/>
          <w:color w:val="000000"/>
          <w:sz w:val="24"/>
        </w:rPr>
        <w:t>Tree planting. Minimum eligible area is three acres.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12.19(5)</w:t>
      </w:r>
      <w:r>
        <w:rPr>
          <w:rFonts w:ascii="Times New Roman" w:hAnsi="Times New Roman"/>
          <w:b w:val="false"/>
          <w:i w:val="false"/>
          <w:color w:val="000000"/>
          <w:sz w:val="24"/>
        </w:rPr>
        <w:t> </w:t>
      </w:r>
      <w:r>
        <w:rPr>
          <w:rFonts w:ascii="Times New Roman" w:hAnsi="Times New Roman"/>
          <w:b w:val="false"/>
          <w:i w:val="false"/>
          <w:color w:val="000000"/>
          <w:sz w:val="24"/>
        </w:rPr>
        <w:t>Site preparation for natural regeneration. Minimum eligible area is three acres.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12.19(6)</w:t>
      </w:r>
      <w:r>
        <w:rPr>
          <w:rFonts w:ascii="Times New Roman" w:hAnsi="Times New Roman"/>
          <w:b w:val="false"/>
          <w:i w:val="false"/>
          <w:color w:val="000000"/>
          <w:sz w:val="24"/>
        </w:rPr>
        <w:t> </w:t>
      </w:r>
      <w:r>
        <w:rPr>
          <w:rFonts w:ascii="Times New Roman" w:hAnsi="Times New Roman"/>
          <w:b w:val="false"/>
          <w:i w:val="false"/>
          <w:color w:val="000000"/>
          <w:sz w:val="24"/>
        </w:rPr>
        <w:t>Riparian forest buffer.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12.19(7)</w:t>
      </w:r>
      <w:r>
        <w:rPr>
          <w:rFonts w:ascii="Times New Roman" w:hAnsi="Times New Roman"/>
          <w:b w:val="false"/>
          <w:i w:val="false"/>
          <w:color w:val="000000"/>
          <w:sz w:val="24"/>
        </w:rPr>
        <w:t> </w:t>
      </w:r>
      <w:r>
        <w:rPr>
          <w:rFonts w:ascii="Times New Roman" w:hAnsi="Times New Roman"/>
          <w:b w:val="false"/>
          <w:i w:val="false"/>
          <w:color w:val="000000"/>
          <w:sz w:val="24"/>
        </w:rPr>
        <w:t>Rescue treatments. Minimum eligible area is three acres.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12.19(8)</w:t>
      </w:r>
      <w:r>
        <w:rPr>
          <w:rFonts w:ascii="Times New Roman" w:hAnsi="Times New Roman"/>
          <w:b w:val="false"/>
          <w:i w:val="false"/>
          <w:color w:val="000000"/>
          <w:sz w:val="24"/>
        </w:rPr>
        <w:t> </w:t>
      </w:r>
      <w:r>
        <w:rPr>
          <w:rFonts w:ascii="Times New Roman" w:hAnsi="Times New Roman"/>
          <w:b w:val="false"/>
          <w:i w:val="false"/>
          <w:color w:val="000000"/>
          <w:sz w:val="24"/>
        </w:rPr>
        <w:t>Prescribed grazing. The practice must include a minimum of two paddocks of native species grasses.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12.19(9)</w:t>
      </w:r>
      <w:r>
        <w:rPr>
          <w:rFonts w:ascii="Times New Roman" w:hAnsi="Times New Roman"/>
          <w:b w:val="false"/>
          <w:i w:val="false"/>
          <w:color w:val="000000"/>
          <w:sz w:val="24"/>
        </w:rPr>
        <w:t> </w:t>
      </w:r>
      <w:r>
        <w:rPr>
          <w:rFonts w:ascii="Times New Roman" w:hAnsi="Times New Roman"/>
          <w:b w:val="false"/>
          <w:i w:val="false"/>
          <w:color w:val="000000"/>
          <w:sz w:val="24"/>
        </w:rPr>
        <w:t>Conservation cover.</w:t>
      </w:r>
    </w:p>
    <w:p>
      <w:pPr>
        <w:spacing w:before="0" w:after="0" w:line="480"/>
        <w:ind w:left="120"/>
        <w:jc w:val="both"/>
      </w:pPr>
      <w:r>
        <w:rPr>
          <w:rFonts w:ascii="Times New Roman" w:hAnsi="Times New Roman"/>
          <w:b/>
          <w:i w:val="false"/>
          <w:color w:val="000000"/>
          <w:sz w:val="24"/>
        </w:rPr>
        <w:t>27—12.20</w:t>
      </w:r>
      <w:r>
        <w:rPr>
          <w:rFonts w:ascii="Times New Roman" w:hAnsi="Times New Roman"/>
          <w:b/>
          <w:i w:val="false"/>
          <w:color w:val="000000"/>
          <w:sz w:val="24"/>
        </w:rPr>
        <w:t xml:space="preserve">(161C) </w:t>
      </w:r>
      <w:r>
        <w:rPr>
          <w:rFonts w:ascii="Times New Roman" w:hAnsi="Times New Roman"/>
          <w:b/>
          <w:i w:val="false"/>
          <w:color w:val="000000"/>
          <w:sz w:val="24"/>
        </w:rPr>
        <w:t xml:space="preserve">Practice standards and specifications.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12.20(1)</w:t>
      </w:r>
      <w:r>
        <w:rPr>
          <w:rFonts w:ascii="Times New Roman" w:hAnsi="Times New Roman"/>
          <w:b w:val="false"/>
          <w:i w:val="false"/>
          <w:color w:val="000000"/>
          <w:sz w:val="24"/>
        </w:rPr>
        <w:t> </w:t>
      </w:r>
      <w:r>
        <w:rPr>
          <w:rFonts w:ascii="Times New Roman" w:hAnsi="Times New Roman"/>
          <w:b w:val="false"/>
          <w:i w:val="false"/>
          <w:color w:val="000000"/>
          <w:sz w:val="24"/>
        </w:rPr>
        <w:t>Where applicable, water protection practices shall meet NRCS practice standards and specifications, which may be accessed through the NRCS Field Office Technical Guide.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12.20(2)</w:t>
      </w:r>
      <w:r>
        <w:rPr>
          <w:rFonts w:ascii="Times New Roman" w:hAnsi="Times New Roman"/>
          <w:b w:val="false"/>
          <w:i w:val="false"/>
          <w:color w:val="000000"/>
          <w:sz w:val="24"/>
        </w:rPr>
        <w:t> </w:t>
      </w:r>
      <w:r>
        <w:rPr>
          <w:rFonts w:ascii="Times New Roman" w:hAnsi="Times New Roman"/>
          <w:b w:val="false"/>
          <w:i w:val="false"/>
          <w:color w:val="000000"/>
          <w:sz w:val="24"/>
        </w:rPr>
        <w:t>Where applicable, forestry practices shall meet department of natural resources (DNR) practice standards and specifications, which may be accessed through the DNR Forestry Practices Manual Technical Guide.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12.20(3)</w:t>
      </w:r>
      <w:r>
        <w:rPr>
          <w:rFonts w:ascii="Times New Roman" w:hAnsi="Times New Roman"/>
          <w:b w:val="false"/>
          <w:i w:val="false"/>
          <w:color w:val="000000"/>
          <w:sz w:val="24"/>
        </w:rPr>
        <w:t> </w:t>
      </w:r>
      <w:r>
        <w:rPr>
          <w:rFonts w:ascii="Times New Roman" w:hAnsi="Times New Roman"/>
          <w:b w:val="false"/>
          <w:i w:val="false"/>
          <w:color w:val="000000"/>
          <w:sz w:val="24"/>
        </w:rPr>
        <w:t>Copies of standards and specifications may be requested in the district office where the practice will be implemented.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12.20(4)</w:t>
      </w:r>
      <w:r>
        <w:rPr>
          <w:rFonts w:ascii="Times New Roman" w:hAnsi="Times New Roman"/>
          <w:b w:val="false"/>
          <w:i w:val="false"/>
          <w:color w:val="000000"/>
          <w:sz w:val="24"/>
        </w:rPr>
        <w:t> </w:t>
      </w:r>
      <w:r>
        <w:rPr>
          <w:rFonts w:ascii="Times New Roman" w:hAnsi="Times New Roman"/>
          <w:b w:val="false"/>
          <w:i w:val="false"/>
          <w:color w:val="000000"/>
          <w:sz w:val="24"/>
        </w:rPr>
        <w:t>To the extent of any inconsistency between the general conditions and the specifications, the general conditions shall control.</w:t>
      </w:r>
    </w:p>
    <w:p>
      <w:pPr>
        <w:spacing w:before="210" w:after="0" w:line="480"/>
        <w:ind w:left="120"/>
        <w:jc w:val="both"/>
      </w:pPr>
      <w:r>
        <w:rPr>
          <w:rFonts w:ascii="Times New Roman" w:hAnsi="Times New Roman"/>
          <w:b/>
          <w:i w:val="false"/>
          <w:color w:val="000000"/>
          <w:sz w:val="24"/>
        </w:rPr>
        <w:t>27—12.21</w:t>
      </w:r>
      <w:r>
        <w:rPr>
          <w:rFonts w:ascii="Times New Roman" w:hAnsi="Times New Roman"/>
          <w:b/>
          <w:i w:val="false"/>
          <w:color w:val="000000"/>
          <w:sz w:val="24"/>
        </w:rPr>
        <w:t xml:space="preserve">(161C) </w:t>
      </w:r>
      <w:r>
        <w:rPr>
          <w:rFonts w:ascii="Times New Roman" w:hAnsi="Times New Roman"/>
          <w:b/>
          <w:i w:val="false"/>
          <w:color w:val="000000"/>
          <w:sz w:val="24"/>
        </w:rPr>
        <w:t xml:space="preserve">Cost-share rates. </w:t>
      </w:r>
      <w:r>
        <w:rPr>
          <w:rFonts w:ascii="Times New Roman" w:hAnsi="Times New Roman"/>
          <w:b w:val="false"/>
          <w:i w:val="false"/>
          <w:color w:val="000000"/>
          <w:sz w:val="24"/>
        </w:rPr>
        <w:t>The cost-share rate to be provided from water protection practices—forestry, native grasses and forbs account funding is not to exceed 75 percent of the estimated or eligible cost of practice implementation, whichever is less. This funding may be used in combination with other public funds to provide a total cost-share rate not to exceed 75 percent of the lesser of the eligible or the estimated cost of implementation. Additional restrictions on this funding may be imposed in policy established and maintained by the division of soil conservation and water quality.</w:t>
      </w:r>
    </w:p>
    <w:p>
      <w:pPr>
        <w:pBdr>
          <w:top w:space="10"/>
        </w:pBdr>
        <w:spacing w:before="0" w:after="0" w:line="480"/>
        <w:ind w:left="120"/>
        <w:jc w:val="center"/>
      </w:pPr>
      <w:r>
        <w:rPr>
          <w:rFonts w:ascii="Times New Roman" w:hAnsi="Times New Roman"/>
          <w:b w:val="false"/>
          <w:i w:val="false"/>
          <w:color w:val="000000"/>
          <w:sz w:val="16"/>
        </w:rPr>
        <w:t>PART 9</w:t>
      </w:r>
    </w:p>
    <w:p>
      <w:pPr>
        <w:spacing w:before="210" w:after="0" w:line="480"/>
        <w:ind w:left="120"/>
        <w:jc w:val="both"/>
      </w:pPr>
      <w:r>
        <w:rPr>
          <w:rFonts w:ascii="Times New Roman" w:hAnsi="Times New Roman"/>
          <w:b/>
          <w:i w:val="false"/>
          <w:color w:val="000000"/>
          <w:sz w:val="24"/>
        </w:rPr>
        <w:t>27—12.22</w:t>
      </w:r>
      <w:r>
        <w:rPr>
          <w:rFonts w:ascii="Times New Roman" w:hAnsi="Times New Roman"/>
          <w:b/>
          <w:i w:val="false"/>
          <w:color w:val="000000"/>
          <w:sz w:val="24"/>
        </w:rPr>
        <w:t xml:space="preserve">(161C) </w:t>
      </w:r>
      <w:r>
        <w:rPr>
          <w:rFonts w:ascii="Times New Roman" w:hAnsi="Times New Roman"/>
          <w:b/>
          <w:i w:val="false"/>
          <w:color w:val="000000"/>
          <w:sz w:val="24"/>
        </w:rPr>
        <w:t xml:space="preserve">Reporting and accounting. </w:t>
      </w:r>
      <w:r>
        <w:rPr>
          <w:rFonts w:ascii="Times New Roman" w:hAnsi="Times New Roman"/>
          <w:b w:val="false"/>
          <w:i w:val="false"/>
          <w:color w:val="000000"/>
          <w:sz w:val="24"/>
        </w:rPr>
        <w:t xml:space="preserve">Reports will be prepared in the same manner as provided in rule </w:t>
      </w:r>
      <w:hyperlink r:id="rId19">
        <w:r>
          <w:rPr>
            <w:rStyle w:val="Hyperlink"/>
            <w:rFonts w:ascii="Times New Roman" w:hAnsi="Times New Roman"/>
            <w:b w:val="false"/>
            <w:i w:val="false"/>
            <w:color w:val="000000"/>
            <w:sz w:val="24"/>
          </w:rPr>
          <w:t>27—10.24</w:t>
        </w:r>
      </w:hyperlink>
      <w:r>
        <w:rPr>
          <w:rFonts w:ascii="Times New Roman" w:hAnsi="Times New Roman"/>
          <w:b w:val="false"/>
          <w:i w:val="false"/>
          <w:color w:val="000000"/>
          <w:sz w:val="24"/>
        </w:rPr>
        <w:t>(161A).</w:t>
      </w:r>
    </w:p>
    <w:p>
      <w:pPr>
        <w:spacing w:before="0" w:after="0" w:line="480"/>
        <w:ind w:left="120"/>
        <w:jc w:val="both"/>
      </w:pPr>
      <w:r>
        <w:rPr>
          <w:rFonts w:ascii="Times New Roman" w:hAnsi="Times New Roman"/>
          <w:b w:val="false"/>
          <w:i w:val="false"/>
          <w:color w:val="000000"/>
          <w:sz w:val="24"/>
        </w:rPr>
        <w:t xml:space="preserve">These rules are intended to implement Iowa Code chapters </w:t>
      </w:r>
      <w:hyperlink r:id="rId20">
        <w:r>
          <w:rPr>
            <w:rStyle w:val="Hyperlink"/>
            <w:rFonts w:ascii="Times New Roman" w:hAnsi="Times New Roman"/>
            <w:b w:val="false"/>
            <w:i w:val="false"/>
            <w:color w:val="000000"/>
            <w:sz w:val="24"/>
          </w:rPr>
          <w:t>161A</w:t>
        </w:r>
      </w:hyperlink>
      <w:r>
        <w:rPr>
          <w:rFonts w:ascii="Times New Roman" w:hAnsi="Times New Roman"/>
          <w:b w:val="false"/>
          <w:i w:val="false"/>
          <w:color w:val="000000"/>
          <w:sz w:val="24"/>
        </w:rPr>
        <w:t xml:space="preserve"> and </w:t>
      </w:r>
      <w:hyperlink r:id="rId21">
        <w:r>
          <w:rPr>
            <w:rStyle w:val="Hyperlink"/>
            <w:rFonts w:ascii="Times New Roman" w:hAnsi="Times New Roman"/>
            <w:b w:val="false"/>
            <w:i w:val="false"/>
            <w:color w:val="000000"/>
            <w:sz w:val="24"/>
          </w:rPr>
          <w:t>161C</w:t>
        </w:r>
      </w:hyperlink>
      <w:r>
        <w:rPr>
          <w:rFonts w:ascii="Times New Roman" w:hAnsi="Times New Roman"/>
          <w:b w:val="false"/>
          <w:i w:val="false"/>
          <w:color w:val="000000"/>
          <w:sz w:val="24"/>
        </w:rPr>
        <w:t xml:space="preserve"> and section </w:t>
      </w:r>
      <w:hyperlink r:id="rId22">
        <w:r>
          <w:rPr>
            <w:rStyle w:val="Hyperlink"/>
            <w:rFonts w:ascii="Times New Roman" w:hAnsi="Times New Roman"/>
            <w:b w:val="false"/>
            <w:i w:val="false"/>
            <w:color w:val="000000"/>
            <w:sz w:val="24"/>
          </w:rPr>
          <w:t>455A.19</w:t>
        </w:r>
      </w:hyperlink>
      <w:r>
        <w:rPr>
          <w:rFonts w:ascii="Times New Roman" w:hAnsi="Times New Roman"/>
          <w:b w:val="false"/>
          <w:i w:val="false"/>
          <w:color w:val="000000"/>
          <w:sz w:val="24"/>
        </w:rPr>
        <w:t>.</w:t>
      </w:r>
    </w:p>
    <w:sectPr>
      <w:footerReference r:id="rId2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lin.tadlock@iowaagriculture.gov" Type="http://schemas.openxmlformats.org/officeDocument/2006/relationships/hyperlink" Id="rId4"/>
    <Relationship TargetMode="External" Target="https://www.legis.iowa.gov/docs/ico/chapter/161C.4.pdf" Type="http://schemas.openxmlformats.org/officeDocument/2006/relationships/hyperlink" Id="rId5"/>
    <Relationship TargetMode="External" Target="https://www.legis.iowa.gov/docs/iac/rule/27.10.3.pdf" Type="http://schemas.openxmlformats.org/officeDocument/2006/relationships/hyperlink" Id="rId6"/>
    <Relationship TargetMode="External" Target="https://www.legis.iowa.gov/docs/iac/rule/27.10.4.pdf" Type="http://schemas.openxmlformats.org/officeDocument/2006/relationships/hyperlink" Id="rId7"/>
    <Relationship TargetMode="External" Target="https://www.legis.iowa.gov/docs/iac/rule/27.10.7.pdf" Type="http://schemas.openxmlformats.org/officeDocument/2006/relationships/hyperlink" Id="rId8"/>
    <Relationship TargetMode="External" Target="https://www.legis.iowa.gov/docs/ico/chapter/161C.4.pdf" Type="http://schemas.openxmlformats.org/officeDocument/2006/relationships/hyperlink" Id="rId9"/>
    <Relationship TargetMode="External" Target="https://www.legis.iowa.gov/docs/ico/chapter/161C.2.pdf" Type="http://schemas.openxmlformats.org/officeDocument/2006/relationships/hyperlink" Id="rId10"/>
    <Relationship TargetMode="External" Target="https://www.legis.iowa.gov/docs/ico/chapter/161C.4.pdf" Type="http://schemas.openxmlformats.org/officeDocument/2006/relationships/hyperlink" Id="rId11"/>
    <Relationship TargetMode="External" Target="https://www.legis.iowa.gov/docs/ico/chapter/161C.pdf" Type="http://schemas.openxmlformats.org/officeDocument/2006/relationships/hyperlink" Id="rId12"/>
    <Relationship TargetMode="External" Target="https://www.legis.iowa.gov/docs/ico/chapter/161A.75.pdf" Type="http://schemas.openxmlformats.org/officeDocument/2006/relationships/hyperlink" Id="rId13"/>
    <Relationship TargetMode="External" Target="https://www.legis.iowa.gov/docs/iac/rule/27.12.14.pdf" Type="http://schemas.openxmlformats.org/officeDocument/2006/relationships/hyperlink" Id="rId14"/>
    <Relationship TargetMode="External" Target="https://www.legis.iowa.gov/docs/ico/chapter/161C.pdf" Type="http://schemas.openxmlformats.org/officeDocument/2006/relationships/hyperlink" Id="rId15"/>
    <Relationship TargetMode="External" Target="https://www.legis.iowa.gov/docs/iac/rule/27.12.11.pdf" Type="http://schemas.openxmlformats.org/officeDocument/2006/relationships/hyperlink" Id="rId16"/>
    <Relationship TargetMode="External" Target="https://www.legis.iowa.gov/docs/iac/rule/27.12.11.pdf" Type="http://schemas.openxmlformats.org/officeDocument/2006/relationships/hyperlink" Id="rId17"/>
    <Relationship TargetMode="External" Target="https://www.legis.iowa.gov/docs/iac/rule/27.12.11.pdf" Type="http://schemas.openxmlformats.org/officeDocument/2006/relationships/hyperlink" Id="rId18"/>
    <Relationship TargetMode="External" Target="https://www.legis.iowa.gov/docs/iac/rule/27.10.24.pdf" Type="http://schemas.openxmlformats.org/officeDocument/2006/relationships/hyperlink" Id="rId19"/>
    <Relationship TargetMode="External" Target="https://www.legis.iowa.gov/docs/ico/chapter/161A.pdf" Type="http://schemas.openxmlformats.org/officeDocument/2006/relationships/hyperlink" Id="rId20"/>
    <Relationship TargetMode="External" Target="https://www.legis.iowa.gov/docs/ico/chapter/161C.pdf" Type="http://schemas.openxmlformats.org/officeDocument/2006/relationships/hyperlink" Id="rId21"/>
    <Relationship TargetMode="External" Target="https://www.legis.iowa.gov/docs/ico/chapter/455A.19.pdf" Type="http://schemas.openxmlformats.org/officeDocument/2006/relationships/hyperlink" Id="rId22"/>
    <Relationship Target="footer.xml" Type="http://schemas.openxmlformats.org/officeDocument/2006/relationships/footer" Id="rId2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